
<file path=[Content_Types].xml><?xml version="1.0" encoding="utf-8"?>
<Types xmlns="http://schemas.openxmlformats.org/package/2006/content-types">
  <Default Extension="jpeg" ContentType="image/jpeg"/>
  <Default Extension="JPG" ContentType="image/.jp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left"/>
        <w:rPr>
          <w:rFonts w:cs="Times New Roman"/>
          <w:b/>
          <w:bCs/>
          <w:color w:val="000000" w:themeColor="text1"/>
          <w:sz w:val="28"/>
          <w:szCs w:val="28"/>
          <w14:textFill>
            <w14:solidFill>
              <w14:schemeClr w14:val="tx1"/>
            </w14:solidFill>
          </w14:textFill>
        </w:rPr>
      </w:pPr>
      <w:r>
        <w:rPr>
          <w:rFonts w:cs="Times New Roman"/>
          <w:b/>
          <w:bCs/>
          <w:color w:val="000000" w:themeColor="text1"/>
          <w:sz w:val="28"/>
          <w:szCs w:val="28"/>
          <w14:textFill>
            <w14:solidFill>
              <w14:schemeClr w14:val="tx1"/>
            </w14:solidFill>
          </w14:textFill>
        </w:rPr>
        <w:t>B2B Service Firms’ Internationalization in Time of Dynamic Change</w:t>
      </w:r>
    </w:p>
    <w:p>
      <w:pPr>
        <w:widowControl/>
        <w:suppressAutoHyphens w:val="0"/>
        <w:rPr>
          <w:rFonts w:cs="Times New Roman"/>
          <w:b/>
          <w:bCs/>
          <w:color w:val="000000"/>
          <w:kern w:val="0"/>
          <w:sz w:val="16"/>
          <w:szCs w:val="16"/>
        </w:rPr>
      </w:pPr>
      <w:r>
        <w:rPr>
          <w:rFonts w:cs="Times New Roman"/>
          <w:b/>
          <w:bCs/>
          <w:color w:val="000000"/>
          <w:kern w:val="0"/>
          <w:sz w:val="16"/>
          <w:szCs w:val="16"/>
        </w:rPr>
        <w:t xml:space="preserve">Nuo Wang </w:t>
      </w:r>
    </w:p>
    <w:p>
      <w:pPr>
        <w:widowControl/>
        <w:suppressAutoHyphens w:val="0"/>
        <w:spacing w:line="220" w:lineRule="exact"/>
        <w:rPr>
          <w:rFonts w:ascii="宋体" w:hAnsi="宋体" w:cs="宋体"/>
          <w:kern w:val="0"/>
          <w:sz w:val="15"/>
          <w:szCs w:val="15"/>
        </w:rPr>
      </w:pPr>
      <w:r>
        <w:rPr>
          <w:rFonts w:cs="Times New Roman"/>
          <w:color w:val="000000"/>
          <w:kern w:val="0"/>
          <w:sz w:val="15"/>
          <w:szCs w:val="15"/>
        </w:rPr>
        <w:t xml:space="preserve">PhD Student in Communication, Markets and Society </w:t>
      </w:r>
    </w:p>
    <w:p>
      <w:pPr>
        <w:widowControl/>
        <w:suppressAutoHyphens w:val="0"/>
        <w:spacing w:line="220" w:lineRule="exact"/>
        <w:rPr>
          <w:rFonts w:ascii="宋体" w:hAnsi="宋体" w:cs="宋体"/>
          <w:kern w:val="0"/>
          <w:sz w:val="15"/>
          <w:szCs w:val="15"/>
        </w:rPr>
      </w:pPr>
      <w:r>
        <w:rPr>
          <w:rFonts w:cs="Times New Roman"/>
          <w:color w:val="000000"/>
          <w:kern w:val="0"/>
          <w:sz w:val="15"/>
          <w:szCs w:val="15"/>
        </w:rPr>
        <w:t xml:space="preserve">Business, Law, Economics and Consumer Behaviour, IULM University </w:t>
      </w:r>
    </w:p>
    <w:p>
      <w:pPr>
        <w:widowControl/>
        <w:suppressAutoHyphens w:val="0"/>
        <w:spacing w:line="220" w:lineRule="exact"/>
        <w:rPr>
          <w:rFonts w:ascii="宋体" w:hAnsi="宋体" w:cs="宋体"/>
          <w:kern w:val="0"/>
          <w:sz w:val="15"/>
          <w:szCs w:val="15"/>
        </w:rPr>
      </w:pPr>
      <w:r>
        <w:rPr>
          <w:rFonts w:cs="Times New Roman"/>
          <w:color w:val="000000"/>
          <w:kern w:val="0"/>
          <w:sz w:val="15"/>
          <w:szCs w:val="15"/>
        </w:rPr>
        <w:t>nuo.wang1@studenti.iulm.it</w:t>
      </w:r>
    </w:p>
    <w:p>
      <w:pPr>
        <w:keepNext w:val="0"/>
        <w:keepLines w:val="0"/>
        <w:pageBreakBefore w:val="0"/>
        <w:kinsoku/>
        <w:wordWrap/>
        <w:overflowPunct/>
        <w:topLinePunct w:val="0"/>
        <w:autoSpaceDN/>
        <w:bidi w:val="0"/>
        <w:adjustRightInd/>
        <w:snapToGrid/>
        <w:ind w:left="0"/>
        <w:jc w:val="center"/>
        <w:textAlignment w:val="auto"/>
        <w:rPr>
          <w:rFonts w:hint="default" w:ascii="Times New Roman Bold" w:hAnsi="Times New Roman Bold" w:cs="Times New Roman Bold"/>
          <w:b/>
          <w:bCs/>
          <w:sz w:val="24"/>
          <w:szCs w:val="24"/>
        </w:rPr>
      </w:pPr>
      <w:r>
        <w:rPr>
          <w:rFonts w:hint="default" w:ascii="Times New Roman Bold" w:hAnsi="Times New Roman Bold" w:cs="Times New Roman Bold"/>
          <w:b/>
          <w:bCs/>
          <w:sz w:val="24"/>
          <w:szCs w:val="24"/>
        </w:rPr>
        <w:t>Abstract</w:t>
      </w:r>
    </w:p>
    <w:p>
      <w:pPr>
        <w:keepNext w:val="0"/>
        <w:keepLines w:val="0"/>
        <w:pageBreakBefore w:val="0"/>
        <w:kinsoku/>
        <w:wordWrap/>
        <w:overflowPunct/>
        <w:topLinePunct w:val="0"/>
        <w:autoSpaceDN/>
        <w:bidi w:val="0"/>
        <w:adjustRightInd/>
        <w:snapToGrid/>
        <w:ind w:left="0" w:firstLine="480" w:firstLineChars="200"/>
        <w:jc w:val="both"/>
        <w:textAlignment w:val="auto"/>
        <w:rPr>
          <w:rFonts w:hint="default" w:ascii="Times New Roman Regular" w:hAnsi="Times New Roman Regular" w:cs="Times New Roman Regular"/>
          <w:sz w:val="24"/>
          <w:szCs w:val="24"/>
        </w:rPr>
      </w:pPr>
      <w:r>
        <w:rPr>
          <w:rFonts w:hint="default" w:ascii="Times New Roman Regular" w:hAnsi="Times New Roman Regular" w:cs="Times New Roman Regular"/>
          <w:sz w:val="24"/>
          <w:szCs w:val="24"/>
        </w:rPr>
        <w:t xml:space="preserve">The internationalization of service firms is expanding dramatically, fueled by technological innovations and quick updates of information. Relevant knowledge of B2B service firms’ internationalisation still needs to be explored and studied. Considering recent changes in an international environment, this study is conducted with the hope to contribute to the discussion on the phenomena of internationalisation in terms of the evolution of the capabilities, strategies and patterns of B2B firms that offer service as their core business. This study follows mainly a qualitative manner by employing grounded theory and fuzzy-set qualitative comparative analysis through 14 interviews and 156 samples of questionnaires, with the hope to identify variables and drivers of B2B service firms’ internationalisation. </w:t>
      </w:r>
    </w:p>
    <w:p>
      <w:pPr>
        <w:keepNext w:val="0"/>
        <w:keepLines w:val="0"/>
        <w:pageBreakBefore w:val="0"/>
        <w:kinsoku/>
        <w:wordWrap/>
        <w:overflowPunct/>
        <w:topLinePunct w:val="0"/>
        <w:autoSpaceDN/>
        <w:bidi w:val="0"/>
        <w:adjustRightInd/>
        <w:snapToGrid/>
        <w:jc w:val="both"/>
        <w:textAlignment w:val="auto"/>
        <w:rPr>
          <w:rFonts w:hint="default" w:ascii="Times New Roman Regular" w:hAnsi="Times New Roman Regular" w:cs="Times New Roman Regular"/>
          <w:sz w:val="22"/>
          <w:szCs w:val="22"/>
        </w:rPr>
      </w:pPr>
      <w:r>
        <w:rPr>
          <w:rFonts w:hint="default" w:ascii="Times New Roman Regular" w:hAnsi="Times New Roman Regular" w:cs="Times New Roman Regular"/>
          <w:i/>
          <w:iCs/>
          <w:sz w:val="22"/>
          <w:szCs w:val="22"/>
        </w:rPr>
        <w:t>Keywords</w:t>
      </w:r>
      <w:r>
        <w:rPr>
          <w:rFonts w:hint="default" w:ascii="Times New Roman Regular" w:hAnsi="Times New Roman Regular" w:cs="Times New Roman Regular"/>
          <w:sz w:val="22"/>
          <w:szCs w:val="22"/>
        </w:rPr>
        <w:t xml:space="preserve">: </w:t>
      </w:r>
      <w:bookmarkStart w:id="2" w:name="_GoBack"/>
      <w:r>
        <w:rPr>
          <w:rFonts w:hint="default" w:ascii="Times New Roman Regular" w:hAnsi="Times New Roman Regular" w:cs="Times New Roman Regular"/>
          <w:sz w:val="22"/>
          <w:szCs w:val="22"/>
        </w:rPr>
        <w:t>B2B; Service firms; Internationalisation; Fuzzy-set qualitative comparative analysis.</w:t>
      </w:r>
    </w:p>
    <w:bookmarkEnd w:id="2"/>
    <w:p>
      <w:pPr>
        <w:pStyle w:val="11"/>
        <w:keepNext w:val="0"/>
        <w:keepLines w:val="0"/>
        <w:pageBreakBefore w:val="0"/>
        <w:numPr>
          <w:ilvl w:val="0"/>
          <w:numId w:val="1"/>
        </w:numPr>
        <w:kinsoku/>
        <w:wordWrap/>
        <w:overflowPunct/>
        <w:topLinePunct w:val="0"/>
        <w:autoSpaceDN/>
        <w:bidi w:val="0"/>
        <w:adjustRightInd/>
        <w:snapToGrid/>
        <w:ind w:left="-357" w:leftChars="0"/>
        <w:jc w:val="both"/>
        <w:textAlignment w:val="auto"/>
        <w:rPr>
          <w:rFonts w:hint="default" w:ascii="Times New Roman Regular" w:hAnsi="Times New Roman Regular" w:cs="Times New Roman Regular"/>
          <w:b/>
          <w:bCs/>
          <w:sz w:val="24"/>
          <w:szCs w:val="24"/>
        </w:rPr>
      </w:pPr>
      <w:r>
        <w:rPr>
          <w:rFonts w:hint="default" w:ascii="Times New Roman Regular" w:hAnsi="Times New Roman Regular" w:cs="Times New Roman Regular"/>
          <w:b/>
          <w:bCs/>
          <w:sz w:val="24"/>
          <w:szCs w:val="24"/>
        </w:rPr>
        <w:t xml:space="preserve">Introduction </w:t>
      </w:r>
    </w:p>
    <w:p>
      <w:pPr>
        <w:keepNext w:val="0"/>
        <w:keepLines w:val="0"/>
        <w:pageBreakBefore w:val="0"/>
        <w:kinsoku/>
        <w:wordWrap/>
        <w:overflowPunct/>
        <w:topLinePunct w:val="0"/>
        <w:autoSpaceDN/>
        <w:bidi w:val="0"/>
        <w:adjustRightInd/>
        <w:snapToGrid/>
        <w:ind w:left="0" w:firstLine="480" w:firstLineChars="200"/>
        <w:jc w:val="both"/>
        <w:textAlignment w:val="auto"/>
        <w:rPr>
          <w:rFonts w:hint="default" w:ascii="Times New Roman Regular" w:hAnsi="Times New Roman Regular" w:cs="Times New Roman Regular"/>
          <w:sz w:val="24"/>
          <w:szCs w:val="24"/>
        </w:rPr>
      </w:pPr>
      <w:r>
        <w:rPr>
          <w:rFonts w:hint="default" w:ascii="Times New Roman Regular" w:hAnsi="Times New Roman Regular" w:cs="Times New Roman Regular"/>
          <w:sz w:val="24"/>
          <w:szCs w:val="24"/>
        </w:rPr>
        <w:t>B2B service firms are a distinctive organisational form to study amongst other B2B companies and service-based firms (Neu &amp; Brown, 2005). With the recent changes in the global environment that have impacted the international marketing of B2B firms, more components take action forming new drivers and hinders in companies’ internationalisation process. The tendency of “slow globalisation” is reconfiguring B2B service firms’ pattern of internationalizing (Callaghan, 2021).</w:t>
      </w:r>
    </w:p>
    <w:p>
      <w:pPr>
        <w:keepNext w:val="0"/>
        <w:keepLines w:val="0"/>
        <w:pageBreakBefore w:val="0"/>
        <w:kinsoku/>
        <w:wordWrap/>
        <w:overflowPunct/>
        <w:topLinePunct w:val="0"/>
        <w:autoSpaceDN/>
        <w:bidi w:val="0"/>
        <w:adjustRightInd/>
        <w:snapToGrid/>
        <w:ind w:left="0" w:firstLine="480" w:firstLineChars="200"/>
        <w:jc w:val="both"/>
        <w:textAlignment w:val="auto"/>
        <w:rPr>
          <w:rFonts w:hint="default" w:ascii="Times New Roman Regular" w:hAnsi="Times New Roman Regular" w:cs="Times New Roman Regular"/>
          <w:sz w:val="24"/>
          <w:szCs w:val="24"/>
        </w:rPr>
      </w:pPr>
      <w:r>
        <w:rPr>
          <w:rFonts w:hint="default" w:ascii="Times New Roman Regular" w:hAnsi="Times New Roman Regular" w:cs="Times New Roman Regular"/>
          <w:sz w:val="24"/>
          <w:szCs w:val="24"/>
        </w:rPr>
        <w:t xml:space="preserve">There are differential impacts on B2B and B2C companies (Cortez &amp; Johnston, 2020) due to the nature of their domains. B2B companies are predicted to be more vulnerable and severely affected compared with B2C companies because of the longer final customer distance; at the same time, every B2B business unit is more closely associated with other business units in the B2B network. Hence, B2B companies suffer more from business fragmentation than B2C companies (Dekimpe and Deleersnyder, 2018). Whenever a recession hits, there is an intense conversation among marketing academics and practitioners about the appropriate level of marketing spending (Srinivasan et al., 2011). It is predicted to have more difficult for B2B companies to cooperate with partners to collect and </w:t>
      </w:r>
      <w:bookmarkStart w:id="0" w:name="OLE_LINK2"/>
      <w:bookmarkStart w:id="1" w:name="OLE_LINK1"/>
      <w:r>
        <w:rPr>
          <w:rFonts w:hint="default" w:ascii="Times New Roman Regular" w:hAnsi="Times New Roman Regular" w:cs="Times New Roman Regular"/>
          <w:sz w:val="24"/>
          <w:szCs w:val="24"/>
        </w:rPr>
        <w:t>collate</w:t>
      </w:r>
      <w:bookmarkEnd w:id="0"/>
      <w:bookmarkEnd w:id="1"/>
      <w:r>
        <w:rPr>
          <w:rFonts w:hint="default" w:ascii="Times New Roman Regular" w:hAnsi="Times New Roman Regular" w:cs="Times New Roman Regular"/>
          <w:sz w:val="24"/>
          <w:szCs w:val="24"/>
        </w:rPr>
        <w:t xml:space="preserve"> vast amounts of information (Hamill, 1997). </w:t>
      </w:r>
    </w:p>
    <w:p>
      <w:pPr>
        <w:keepNext w:val="0"/>
        <w:keepLines w:val="0"/>
        <w:pageBreakBefore w:val="0"/>
        <w:kinsoku/>
        <w:wordWrap/>
        <w:overflowPunct/>
        <w:topLinePunct w:val="0"/>
        <w:autoSpaceDN/>
        <w:bidi w:val="0"/>
        <w:adjustRightInd/>
        <w:snapToGrid/>
        <w:ind w:left="0" w:firstLine="480" w:firstLineChars="200"/>
        <w:jc w:val="both"/>
        <w:textAlignment w:val="auto"/>
        <w:rPr>
          <w:rFonts w:hint="default" w:ascii="Times New Roman Regular" w:hAnsi="Times New Roman Regular" w:cs="Times New Roman Regular"/>
          <w:sz w:val="24"/>
          <w:szCs w:val="24"/>
        </w:rPr>
      </w:pPr>
      <w:r>
        <w:rPr>
          <w:rFonts w:hint="default" w:ascii="Times New Roman Regular" w:hAnsi="Times New Roman Regular" w:cs="Times New Roman Regular"/>
          <w:sz w:val="24"/>
          <w:szCs w:val="24"/>
        </w:rPr>
        <w:t>The global environment never stops its pace of change. Changes in the global environment impact B2B service firms and their interntionalisation operations. Few theoretical and empirical evidence map a clear path to how these changes influence B2B services firms and their strategies to adopt and navigate certain changes during the internationalisation process. This study is trying to address this research gap with the hope to contribute to the understanding of B2B service firms’ interntaionalisation. Besides configuring the B2B domains by illustrating potential differences under changes and crises between B2B and B2C, it is crucial to understand this service-centric concern. This study will first review the existing literature, demonstrating the characteristics of B2B service firms and types of companies. On this basis, the procedure of their internationalisation and impacts will be discussed. This study will then discuss how this digital ability facilities B2B service firms’ interntionalisation.</w:t>
      </w:r>
    </w:p>
    <w:p>
      <w:pPr>
        <w:pStyle w:val="11"/>
        <w:keepNext w:val="0"/>
        <w:keepLines w:val="0"/>
        <w:pageBreakBefore w:val="0"/>
        <w:numPr>
          <w:ilvl w:val="0"/>
          <w:numId w:val="1"/>
        </w:numPr>
        <w:kinsoku/>
        <w:wordWrap/>
        <w:overflowPunct/>
        <w:topLinePunct w:val="0"/>
        <w:autoSpaceDN/>
        <w:bidi w:val="0"/>
        <w:adjustRightInd/>
        <w:snapToGrid/>
        <w:ind w:left="-357" w:leftChars="0" w:firstLine="480" w:firstLineChars="200"/>
        <w:jc w:val="both"/>
        <w:textAlignment w:val="auto"/>
        <w:rPr>
          <w:rFonts w:hint="default" w:ascii="Times New Roman Regular" w:hAnsi="Times New Roman Regular" w:cs="Times New Roman Regular"/>
          <w:b/>
          <w:bCs/>
          <w:sz w:val="24"/>
          <w:szCs w:val="24"/>
        </w:rPr>
      </w:pPr>
      <w:r>
        <w:rPr>
          <w:rFonts w:hint="default" w:ascii="Times New Roman Regular" w:hAnsi="Times New Roman Regular" w:cs="Times New Roman Regular"/>
          <w:b/>
          <w:bCs/>
          <w:sz w:val="24"/>
          <w:szCs w:val="24"/>
        </w:rPr>
        <w:t>Research background</w:t>
      </w:r>
    </w:p>
    <w:p>
      <w:pPr>
        <w:keepNext w:val="0"/>
        <w:keepLines w:val="0"/>
        <w:pageBreakBefore w:val="0"/>
        <w:kinsoku/>
        <w:wordWrap/>
        <w:overflowPunct/>
        <w:topLinePunct w:val="0"/>
        <w:autoSpaceDN/>
        <w:bidi w:val="0"/>
        <w:adjustRightInd/>
        <w:snapToGrid/>
        <w:ind w:left="0" w:firstLine="120" w:firstLineChars="50"/>
        <w:jc w:val="both"/>
        <w:textAlignment w:val="auto"/>
        <w:rPr>
          <w:rFonts w:hint="default" w:ascii="Times New Roman Regular" w:hAnsi="Times New Roman Regular" w:cs="Times New Roman Regular"/>
          <w:sz w:val="24"/>
          <w:szCs w:val="24"/>
        </w:rPr>
      </w:pPr>
      <w:r>
        <w:rPr>
          <w:rFonts w:hint="default" w:ascii="Times New Roman Regular" w:hAnsi="Times New Roman Regular" w:cs="Times New Roman Regular"/>
          <w:sz w:val="24"/>
          <w:szCs w:val="24"/>
        </w:rPr>
        <w:t>2.1. Dialectics of product and service in B2B service firms</w:t>
      </w:r>
    </w:p>
    <w:p>
      <w:pPr>
        <w:keepNext w:val="0"/>
        <w:keepLines w:val="0"/>
        <w:pageBreakBefore w:val="0"/>
        <w:kinsoku/>
        <w:wordWrap/>
        <w:overflowPunct/>
        <w:topLinePunct w:val="0"/>
        <w:autoSpaceDN/>
        <w:bidi w:val="0"/>
        <w:adjustRightInd/>
        <w:snapToGrid/>
        <w:ind w:left="0" w:firstLine="480" w:firstLineChars="200"/>
        <w:jc w:val="both"/>
        <w:textAlignment w:val="auto"/>
        <w:rPr>
          <w:rFonts w:hint="default" w:ascii="Times New Roman Regular" w:hAnsi="Times New Roman Regular" w:cs="Times New Roman Regular"/>
          <w:sz w:val="24"/>
          <w:szCs w:val="24"/>
        </w:rPr>
      </w:pPr>
      <w:r>
        <w:rPr>
          <w:rFonts w:hint="default" w:ascii="Times New Roman Regular" w:hAnsi="Times New Roman Regular" w:cs="Times New Roman Regular"/>
          <w:sz w:val="24"/>
          <w:szCs w:val="24"/>
        </w:rPr>
        <w:t xml:space="preserve">All organizations divide their domains according to the goods or services they provide and the markets they are present (Thompson, 1967). In actual practice, numerous firms are striving with mixed results to become “solutions providers” by adding services to their portfolio of tangible goods </w:t>
      </w:r>
      <w:r>
        <w:rPr>
          <w:rFonts w:hint="default" w:ascii="Times New Roman Regular" w:hAnsi="Times New Roman Regular" w:cs="Times New Roman Regular"/>
          <w:sz w:val="24"/>
          <w:szCs w:val="24"/>
        </w:rPr>
        <w:fldChar w:fldCharType="begin"/>
      </w:r>
      <w:r>
        <w:rPr>
          <w:rFonts w:hint="default" w:ascii="Times New Roman Regular" w:hAnsi="Times New Roman Regular" w:cs="Times New Roman Regular"/>
          <w:sz w:val="24"/>
          <w:szCs w:val="24"/>
        </w:rPr>
        <w:instrText xml:space="preserve"> ADDIN ZOTERO_ITEM CSL_CITATION {"citationID":"wRjBUW0a","properties":{"formattedCitation":"(Neu &amp; Brown, 2005)","plainCitation":"(Neu &amp; Brown, 2005)","noteIndex":0},"citationItems":[{"id":114,"uris":["http://zotero.org/users/10605022/items/WAWQMWQM"],"itemData":{"id":114,"type":"article-journal","abstract":"Extant literature is almost unanimous in suggesting that managers in goods-dominant firms should integrate services into their core market offers. Furthermore, in actual practice, numerous firms are striving with mixed results to become “solutions providers” by adding services to their portfolio of tangible goods. The literature does not, however, describe what factors to consider when adding services and how the factors should be designed to enhance organizational performance. The purpose of this study was to isolate and characterize factors that enable the formation of successful business-to-business (B2B) services in goods-dominant firms. Using a multicase research design, this study highlights four substantive cases of Fortune 500 firms in which B2B service development was a process of aligning strategy with a highly complex market. The study then illustrates how firms that demonstrate a record of successful B2B service development adapt several factors of organization to align with the newly formed strategy.","container-title":"Journal of Service Research","DOI":"10.1177/1094670505276619","ISSN":"1094-6705, 1552-7379","issue":"1","journalAbbreviation":"Journal of Service Research","language":"en","page":"3-17","source":"DOI.org (Crossref)","title":"Forming Successful Business-to-Business Services in Goods-Dominant Firms","volume":"8","author":[{"family":"Neu","given":"Wayne A."},{"family":"Brown","given":"Stephen W."}],"issued":{"date-parts":[["2005",8]]}}}],"schema":"https://github.com/citation-style-language/schema/raw/master/csl-citation.json"} </w:instrText>
      </w:r>
      <w:r>
        <w:rPr>
          <w:rFonts w:hint="default" w:ascii="Times New Roman Regular" w:hAnsi="Times New Roman Regular" w:cs="Times New Roman Regular"/>
          <w:sz w:val="24"/>
          <w:szCs w:val="24"/>
        </w:rPr>
        <w:fldChar w:fldCharType="separate"/>
      </w:r>
      <w:r>
        <w:rPr>
          <w:rFonts w:hint="default" w:ascii="Times New Roman Regular" w:hAnsi="Times New Roman Regular" w:cs="Times New Roman Regular"/>
          <w:sz w:val="24"/>
          <w:szCs w:val="24"/>
        </w:rPr>
        <w:t>(Neu &amp; Brown, 2005)</w:t>
      </w:r>
      <w:r>
        <w:rPr>
          <w:rFonts w:hint="default" w:ascii="Times New Roman Regular" w:hAnsi="Times New Roman Regular" w:cs="Times New Roman Regular"/>
          <w:sz w:val="24"/>
          <w:szCs w:val="24"/>
        </w:rPr>
        <w:fldChar w:fldCharType="end"/>
      </w:r>
      <w:r>
        <w:rPr>
          <w:rFonts w:hint="default" w:ascii="Times New Roman Regular" w:hAnsi="Times New Roman Regular" w:cs="Times New Roman Regular"/>
          <w:sz w:val="24"/>
          <w:szCs w:val="24"/>
        </w:rPr>
        <w:t xml:space="preserve">. There seem blurred boundaries in distinguishing what B2B service firms are. To understand conceptually the research object, this study categorizes first the constituents of B2B service firms from a marketing perspective. Marketing was originally built on the commodity-centric, manufacturing-based model of economic exchanges developed during the Industrial Revolution (Vargo &amp; Lusch, 2004). From the earliest stage, marketing has been broadening its horizons to include exchanging more than just manufactured goods or products (Achrol &amp; Kotler, 2012). This principle is distinctive when considering the subdiscipline, service marketing, which has emerged to address the abovementioned philosophy of this subject. But it is based on the same commodity-centric and manufacturing-based model since both product-based and service-based businesses sell products (Kindström, 2010). Four characteristic differences between services and goods, namely: intangibility, inseparability, heterogeneity, and perishability give the main principle and basis of this study (Vargo &amp; Lusch, 2004). </w:t>
      </w:r>
    </w:p>
    <w:p>
      <w:pPr>
        <w:keepNext w:val="0"/>
        <w:keepLines w:val="0"/>
        <w:pageBreakBefore w:val="0"/>
        <w:kinsoku/>
        <w:wordWrap/>
        <w:overflowPunct/>
        <w:topLinePunct w:val="0"/>
        <w:autoSpaceDN/>
        <w:bidi w:val="0"/>
        <w:adjustRightInd/>
        <w:snapToGrid/>
        <w:ind w:left="0" w:firstLine="480" w:firstLineChars="200"/>
        <w:jc w:val="both"/>
        <w:textAlignment w:val="auto"/>
        <w:rPr>
          <w:rFonts w:hint="default" w:ascii="Times New Roman Regular" w:hAnsi="Times New Roman Regular" w:cs="Times New Roman Regular"/>
          <w:sz w:val="24"/>
          <w:szCs w:val="24"/>
        </w:rPr>
      </w:pPr>
      <w:r>
        <w:rPr>
          <w:rFonts w:hint="default" w:ascii="Times New Roman Regular" w:hAnsi="Times New Roman Regular" w:cs="Times New Roman Regular"/>
          <w:sz w:val="24"/>
          <w:szCs w:val="24"/>
        </w:rPr>
        <w:t xml:space="preserve">Dialectics’ unique perspective on social processes and relationships is particularly important for understanding a changing world (Seo &amp; Creed, 2002). In this study, I try to discuss the dynamic relationship between services and products by considering the philosophical foundation of dialectics which can provide a binary model that emphasizes balance, linearity, and coherence (Morgan, 1983). </w:t>
      </w:r>
    </w:p>
    <w:p>
      <w:pPr>
        <w:keepNext w:val="0"/>
        <w:keepLines w:val="0"/>
        <w:pageBreakBefore w:val="0"/>
        <w:kinsoku/>
        <w:wordWrap/>
        <w:overflowPunct/>
        <w:topLinePunct w:val="0"/>
        <w:autoSpaceDN/>
        <w:bidi w:val="0"/>
        <w:adjustRightInd/>
        <w:snapToGrid/>
        <w:ind w:left="0" w:firstLine="480" w:firstLineChars="200"/>
        <w:jc w:val="both"/>
        <w:textAlignment w:val="auto"/>
        <w:rPr>
          <w:rFonts w:hint="default" w:ascii="Times New Roman Regular" w:hAnsi="Times New Roman Regular" w:cs="Times New Roman Regular"/>
          <w:sz w:val="24"/>
          <w:szCs w:val="24"/>
        </w:rPr>
      </w:pPr>
      <w:r>
        <w:rPr>
          <w:rFonts w:hint="default" w:ascii="Times New Roman Regular" w:hAnsi="Times New Roman Regular" w:cs="Times New Roman Regular"/>
          <w:sz w:val="24"/>
          <w:szCs w:val="24"/>
        </w:rPr>
        <w:t xml:space="preserve">Grönroos (2020) states that services marketing cannot be understood conceptually without understanding that services as marketing objects are constituted by the conceptual development of services as products or marketing objects. In a service-based business, the prospect invests in the salesperson or owner, which makes the customer relationship more valuable and important than in a product-based business. A service business relies on people and the customer experience, which can be risky (Palmatier, 2008). On the other hand, product-based businesses can be certain that their products are of the same standard across customers, which makes the customer experience predictable (Peppers &amp; Rogerss, 2016). </w:t>
      </w:r>
    </w:p>
    <w:p>
      <w:pPr>
        <w:keepNext w:val="0"/>
        <w:keepLines w:val="0"/>
        <w:pageBreakBefore w:val="0"/>
        <w:kinsoku/>
        <w:wordWrap/>
        <w:overflowPunct/>
        <w:topLinePunct w:val="0"/>
        <w:autoSpaceDN/>
        <w:bidi w:val="0"/>
        <w:adjustRightInd/>
        <w:snapToGrid/>
        <w:ind w:left="0" w:firstLine="480" w:firstLineChars="200"/>
        <w:jc w:val="both"/>
        <w:textAlignment w:val="auto"/>
        <w:rPr>
          <w:rFonts w:hint="default" w:ascii="Times New Roman Regular" w:hAnsi="Times New Roman Regular" w:cs="Times New Roman Regular"/>
          <w:color w:val="2E2E2E"/>
          <w:sz w:val="24"/>
          <w:szCs w:val="24"/>
          <w:shd w:val="clear" w:color="auto" w:fill="FFFFFF"/>
        </w:rPr>
      </w:pPr>
      <w:r>
        <w:rPr>
          <w:rFonts w:hint="default" w:ascii="Times New Roman Regular" w:hAnsi="Times New Roman Regular" w:cs="Times New Roman Regular"/>
          <w:color w:val="2E2E2E"/>
          <w:sz w:val="24"/>
          <w:szCs w:val="24"/>
          <w:shd w:val="clear" w:color="auto" w:fill="FFFFFF"/>
        </w:rPr>
        <w:t>B2B firms have their services innovated, designed and branded to meet the needs and satisfaction of consumers in different markets.</w:t>
      </w:r>
      <w:r>
        <w:rPr>
          <w:rFonts w:hint="default" w:ascii="Times New Roman Regular" w:hAnsi="Times New Roman Regular" w:cs="Times New Roman Regular"/>
          <w:sz w:val="24"/>
          <w:szCs w:val="24"/>
        </w:rPr>
        <w:t xml:space="preserve"> </w:t>
      </w:r>
      <w:r>
        <w:rPr>
          <w:rFonts w:hint="default" w:ascii="Times New Roman Regular" w:hAnsi="Times New Roman Regular" w:cs="Times New Roman Regular"/>
          <w:sz w:val="24"/>
          <w:szCs w:val="24"/>
          <w:shd w:val="clear" w:color="auto" w:fill="FFFFFF"/>
        </w:rPr>
        <w:t>Despite the emergence of service‐dominant logic, B2B service and product companies still differ in how sales process management contributes to firm performance (</w:t>
      </w:r>
      <w:r>
        <w:rPr>
          <w:rFonts w:hint="default" w:ascii="Times New Roman Regular" w:hAnsi="Times New Roman Regular" w:cs="Times New Roman Regular"/>
          <w:color w:val="222222"/>
          <w:sz w:val="24"/>
          <w:szCs w:val="24"/>
          <w:shd w:val="clear" w:color="auto" w:fill="FFFFFF"/>
        </w:rPr>
        <w:t>Parvinen, 2013). Anderson et al. (1997)</w:t>
      </w:r>
      <w:r>
        <w:rPr>
          <w:rFonts w:hint="default" w:ascii="Times New Roman Regular" w:hAnsi="Times New Roman Regular" w:cs="Times New Roman Regular"/>
          <w:color w:val="202225"/>
          <w:sz w:val="24"/>
          <w:szCs w:val="24"/>
        </w:rPr>
        <w:t xml:space="preserve"> evident that simultaneous attempts to increase both customer satisfaction and productivity are likely to be more challenging for service firms. </w:t>
      </w:r>
      <w:r>
        <w:rPr>
          <w:rFonts w:hint="default" w:ascii="Times New Roman Regular" w:hAnsi="Times New Roman Regular" w:cs="Times New Roman Regular"/>
          <w:color w:val="2E2E2E"/>
          <w:sz w:val="24"/>
          <w:szCs w:val="24"/>
          <w:shd w:val="clear" w:color="auto" w:fill="FFFFFF"/>
        </w:rPr>
        <w:t>Compared with B2B product firms, service firms manage less explicitly for innovation, have lower expectations and favour incremental innovation (Biemans &amp; Griffin, 2018). Organizational learning on service innovation performance is fully mediated by organizational agility, and organizational agility has a greater impact on service innovation performance under a high level of entrepreneurial alertness than under a low level (Tsou &amp; Cheng, 2018). Most B2B firms offer hybrid offerings and need concepts and tools to effectively develop related new products and new services simultaneously (Biemans &amp; Griffin, 2018).</w:t>
      </w:r>
    </w:p>
    <w:p>
      <w:pPr>
        <w:keepNext w:val="0"/>
        <w:keepLines w:val="0"/>
        <w:pageBreakBefore w:val="0"/>
        <w:kinsoku/>
        <w:wordWrap/>
        <w:overflowPunct/>
        <w:topLinePunct w:val="0"/>
        <w:autoSpaceDN/>
        <w:bidi w:val="0"/>
        <w:adjustRightInd/>
        <w:snapToGrid/>
        <w:ind w:left="0" w:firstLine="480" w:firstLineChars="200"/>
        <w:jc w:val="both"/>
        <w:textAlignment w:val="auto"/>
        <w:rPr>
          <w:rFonts w:hint="default" w:ascii="Times New Roman Regular" w:hAnsi="Times New Roman Regular" w:cs="Times New Roman Regular"/>
          <w:color w:val="2E2E2E"/>
          <w:sz w:val="24"/>
          <w:szCs w:val="24"/>
          <w:shd w:val="clear" w:color="auto" w:fill="FFFFFF"/>
        </w:rPr>
      </w:pPr>
      <w:r>
        <w:rPr>
          <w:rFonts w:hint="default" w:ascii="Times New Roman Regular" w:hAnsi="Times New Roman Regular" w:cs="Times New Roman Regular"/>
          <w:color w:val="2E2E2E"/>
          <w:sz w:val="24"/>
          <w:szCs w:val="24"/>
          <w:shd w:val="clear" w:color="auto" w:fill="FFFFFF"/>
        </w:rPr>
        <w:t>Strong relationships are important, especially for business partners dealing with B2B professional service providers, as the quality of the relationship can be used as a proxy for evaluating service delivery (Casidy &amp; Nyadzayo, 2019). Both network strength between firms and openness towards new actors as underpinning competitive advantage in B2B services (Eisingerich &amp; Bell, 2008). Trust is shown to have a positive influence on key relational outcomes, loyalty commitment and share of purchases of B2B service firms (Doney et al., 2007). Besides that, the shareholder view shows its link of characteristics in B2B service transactions to the financial value of brands (Guenthe &amp; Guenther, 2019). A</w:t>
      </w:r>
      <w:r>
        <w:rPr>
          <w:rFonts w:hint="default" w:ascii="Times New Roman Regular" w:hAnsi="Times New Roman Regular" w:cs="Times New Roman Regular"/>
          <w:sz w:val="24"/>
          <w:szCs w:val="24"/>
          <w:shd w:val="clear" w:color="auto" w:fill="FFFFFF"/>
        </w:rPr>
        <w:t xml:space="preserve"> company with a high level of brand orientation will both actively communicate its brand to customers and implement internal branding among employees (Zhang et al., 2016), which</w:t>
      </w:r>
      <w:r>
        <w:rPr>
          <w:rFonts w:hint="default" w:ascii="Times New Roman Regular" w:hAnsi="Times New Roman Regular" w:cs="Times New Roman Regular"/>
          <w:color w:val="2E2E2E"/>
          <w:sz w:val="24"/>
          <w:szCs w:val="24"/>
        </w:rPr>
        <w:t xml:space="preserve"> do differentiate the offerings of logistics service providers and the brand equity in commodity-centric B2B service. (</w:t>
      </w:r>
      <w:r>
        <w:rPr>
          <w:rFonts w:hint="default" w:ascii="Times New Roman Regular" w:hAnsi="Times New Roman Regular" w:cs="Times New Roman Regular"/>
          <w:color w:val="222222"/>
          <w:sz w:val="24"/>
          <w:szCs w:val="24"/>
          <w:shd w:val="clear" w:color="auto" w:fill="FFFFFF"/>
        </w:rPr>
        <w:t>Davis et al., 2008)</w:t>
      </w:r>
      <w:r>
        <w:rPr>
          <w:rFonts w:hint="default" w:ascii="Times New Roman Regular" w:hAnsi="Times New Roman Regular" w:cs="Times New Roman Regular"/>
          <w:color w:val="2E2E2E"/>
          <w:sz w:val="24"/>
          <w:szCs w:val="24"/>
        </w:rPr>
        <w:t>.</w:t>
      </w:r>
    </w:p>
    <w:p>
      <w:pPr>
        <w:keepNext w:val="0"/>
        <w:keepLines w:val="0"/>
        <w:pageBreakBefore w:val="0"/>
        <w:kinsoku/>
        <w:wordWrap/>
        <w:overflowPunct/>
        <w:topLinePunct w:val="0"/>
        <w:autoSpaceDN/>
        <w:bidi w:val="0"/>
        <w:adjustRightInd/>
        <w:snapToGrid/>
        <w:ind w:left="0" w:firstLine="120" w:firstLineChars="50"/>
        <w:jc w:val="both"/>
        <w:textAlignment w:val="auto"/>
        <w:rPr>
          <w:rFonts w:hint="default" w:ascii="Times New Roman Regular" w:hAnsi="Times New Roman Regular" w:cs="Times New Roman Regular"/>
          <w:sz w:val="24"/>
          <w:szCs w:val="24"/>
        </w:rPr>
      </w:pPr>
      <w:r>
        <w:rPr>
          <w:rFonts w:hint="default" w:ascii="Times New Roman Regular" w:hAnsi="Times New Roman Regular" w:cs="Times New Roman Regular"/>
          <w:sz w:val="24"/>
          <w:szCs w:val="24"/>
        </w:rPr>
        <w:t>2.2. Service B2B firms’ internationalisation</w:t>
      </w:r>
    </w:p>
    <w:p>
      <w:pPr>
        <w:keepNext w:val="0"/>
        <w:keepLines w:val="0"/>
        <w:pageBreakBefore w:val="0"/>
        <w:kinsoku/>
        <w:wordWrap/>
        <w:overflowPunct/>
        <w:topLinePunct w:val="0"/>
        <w:autoSpaceDN/>
        <w:bidi w:val="0"/>
        <w:adjustRightInd/>
        <w:snapToGrid/>
        <w:ind w:left="0" w:firstLine="480" w:firstLineChars="200"/>
        <w:jc w:val="both"/>
        <w:textAlignment w:val="auto"/>
        <w:rPr>
          <w:rFonts w:hint="default" w:ascii="Times New Roman Regular" w:hAnsi="Times New Roman Regular" w:cs="Times New Roman Regular"/>
          <w:color w:val="2E2E2E"/>
          <w:sz w:val="24"/>
          <w:szCs w:val="24"/>
          <w:shd w:val="clear" w:color="auto" w:fill="FFFFFF"/>
        </w:rPr>
      </w:pPr>
      <w:r>
        <w:rPr>
          <w:rFonts w:hint="default" w:ascii="Times New Roman Regular" w:hAnsi="Times New Roman Regular" w:cs="Times New Roman Regular"/>
          <w:color w:val="2E2E2E"/>
          <w:sz w:val="24"/>
          <w:szCs w:val="24"/>
          <w:shd w:val="clear" w:color="auto" w:fill="FFFFFF"/>
        </w:rPr>
        <w:t xml:space="preserve">The service of B2B firms is created, innovated and branded for consumers in international markets. Service characteristics of B2B firms and their impact on the internationalizing process should be seen as a two-way process of both outward and inward internationalization processes. Understanding the nature of B2B service characteristics and their impact on the internationalization process is critical for knowing how such firms expand overseas or are influenced by overseas players in their domestic environments. </w:t>
      </w:r>
    </w:p>
    <w:p>
      <w:pPr>
        <w:keepNext w:val="0"/>
        <w:keepLines w:val="0"/>
        <w:pageBreakBefore w:val="0"/>
        <w:kinsoku/>
        <w:wordWrap/>
        <w:overflowPunct/>
        <w:topLinePunct w:val="0"/>
        <w:autoSpaceDN/>
        <w:bidi w:val="0"/>
        <w:adjustRightInd/>
        <w:snapToGrid/>
        <w:ind w:left="0" w:firstLine="480" w:firstLineChars="200"/>
        <w:jc w:val="both"/>
        <w:textAlignment w:val="auto"/>
        <w:rPr>
          <w:rFonts w:hint="default" w:ascii="Times New Roman Regular" w:hAnsi="Times New Roman Regular" w:cs="Times New Roman Regular"/>
          <w:color w:val="2E2E2E"/>
          <w:sz w:val="24"/>
          <w:szCs w:val="24"/>
          <w:shd w:val="clear" w:color="auto" w:fill="FFFFFF"/>
        </w:rPr>
      </w:pPr>
      <w:r>
        <w:rPr>
          <w:rFonts w:hint="default" w:ascii="Times New Roman Regular" w:hAnsi="Times New Roman Regular" w:cs="Times New Roman Regular"/>
          <w:sz w:val="24"/>
          <w:szCs w:val="24"/>
          <w:shd w:val="clear" w:color="auto" w:fill="FFFFFF"/>
        </w:rPr>
        <w:t>Discussions about B2B service firms’ interntionalisation determined by a certain specific factor are active. Firm‐specific factors of firm size and the location‐specific factor of market characteristics influence management attitudes toward operating internationally, which in turn influence the degree of internationalization of service firms (</w:t>
      </w:r>
      <w:r>
        <w:rPr>
          <w:rFonts w:hint="default" w:ascii="Times New Roman Regular" w:hAnsi="Times New Roman Regular" w:cs="Times New Roman Regular"/>
          <w:color w:val="222222"/>
          <w:sz w:val="24"/>
          <w:szCs w:val="24"/>
          <w:shd w:val="clear" w:color="auto" w:fill="FFFFFF"/>
        </w:rPr>
        <w:t xml:space="preserve">Javalgi, 2003). </w:t>
      </w:r>
      <w:r>
        <w:rPr>
          <w:rFonts w:hint="default" w:ascii="Times New Roman Regular" w:hAnsi="Times New Roman Regular" w:cs="Times New Roman Regular"/>
          <w:color w:val="333333"/>
          <w:sz w:val="24"/>
          <w:szCs w:val="24"/>
          <w:shd w:val="clear" w:color="auto" w:fill="FCFCFC"/>
        </w:rPr>
        <w:t>The interplay among the resource base, company networks and entrepreneurial capabilities is decisive for internationalization (</w:t>
      </w:r>
      <w:r>
        <w:rPr>
          <w:rFonts w:hint="default" w:ascii="Times New Roman Regular" w:hAnsi="Times New Roman Regular" w:cs="Times New Roman Regular"/>
          <w:color w:val="222222"/>
          <w:sz w:val="24"/>
          <w:szCs w:val="24"/>
          <w:shd w:val="clear" w:color="auto" w:fill="FFFFFF"/>
        </w:rPr>
        <w:t>Turunen &amp; Nummela, 2017). Industry-specific</w:t>
      </w:r>
      <w:r>
        <w:rPr>
          <w:rFonts w:hint="default" w:ascii="Times New Roman Regular" w:hAnsi="Times New Roman Regular" w:cs="Times New Roman Regular"/>
          <w:color w:val="333333"/>
          <w:sz w:val="24"/>
          <w:szCs w:val="24"/>
          <w:shd w:val="clear" w:color="auto" w:fill="FCFCFC"/>
        </w:rPr>
        <w:t xml:space="preserve"> characteristics play an important part in internationalising companies from smaller countries as they further enhance many challenges (</w:t>
      </w:r>
      <w:r>
        <w:rPr>
          <w:rFonts w:hint="default" w:ascii="Times New Roman Regular" w:hAnsi="Times New Roman Regular" w:cs="Times New Roman Regular"/>
          <w:color w:val="222222"/>
          <w:sz w:val="24"/>
          <w:szCs w:val="24"/>
          <w:shd w:val="clear" w:color="auto" w:fill="FFFFFF"/>
        </w:rPr>
        <w:t xml:space="preserve">Laanti et al., 2009). </w:t>
      </w:r>
    </w:p>
    <w:p>
      <w:pPr>
        <w:keepNext w:val="0"/>
        <w:keepLines w:val="0"/>
        <w:pageBreakBefore w:val="0"/>
        <w:kinsoku/>
        <w:wordWrap/>
        <w:overflowPunct/>
        <w:topLinePunct w:val="0"/>
        <w:autoSpaceDN/>
        <w:bidi w:val="0"/>
        <w:adjustRightInd/>
        <w:snapToGrid/>
        <w:ind w:left="0" w:firstLine="480" w:firstLineChars="200"/>
        <w:jc w:val="both"/>
        <w:textAlignment w:val="auto"/>
        <w:rPr>
          <w:rFonts w:hint="default" w:ascii="Times New Roman Regular" w:hAnsi="Times New Roman Regular" w:cs="Times New Roman Regular"/>
          <w:color w:val="2E2E2E"/>
          <w:sz w:val="24"/>
          <w:szCs w:val="24"/>
          <w:shd w:val="clear" w:color="auto" w:fill="FFFFFF"/>
        </w:rPr>
      </w:pPr>
      <w:r>
        <w:rPr>
          <w:rFonts w:hint="default" w:ascii="Times New Roman Regular" w:hAnsi="Times New Roman Regular" w:cs="Times New Roman Regular"/>
          <w:color w:val="333333"/>
          <w:sz w:val="24"/>
          <w:szCs w:val="24"/>
          <w:shd w:val="clear" w:color="auto" w:fill="FCFCFC"/>
        </w:rPr>
        <w:t xml:space="preserve">International processes of the case companies deviate in many areas from those suggested by traditional theories, especially their market strategies. </w:t>
      </w:r>
      <w:r>
        <w:rPr>
          <w:rFonts w:hint="default" w:ascii="Times New Roman Regular" w:hAnsi="Times New Roman Regular" w:cs="Times New Roman Regular"/>
          <w:sz w:val="24"/>
          <w:szCs w:val="24"/>
        </w:rPr>
        <w:t xml:space="preserve">The relationship strategy between home and host countries is always a fascinating puzzle in international business research. </w:t>
      </w:r>
      <w:r>
        <w:rPr>
          <w:rFonts w:hint="default" w:ascii="Times New Roman Regular" w:hAnsi="Times New Roman Regular" w:cs="Times New Roman Regular"/>
          <w:color w:val="333333"/>
          <w:sz w:val="24"/>
          <w:szCs w:val="24"/>
          <w:shd w:val="clear" w:color="auto" w:fill="FCFCFC"/>
        </w:rPr>
        <w:t>New components such as ‘born-again’ global appear to be influenced by critical events that provide them with additional human or financial resources, such as changes in ownership/management, being taken over by another company with international networks, or acquiring such a firm (</w:t>
      </w:r>
      <w:r>
        <w:rPr>
          <w:rFonts w:hint="default" w:ascii="Times New Roman Regular" w:hAnsi="Times New Roman Regular" w:cs="Times New Roman Regular"/>
          <w:color w:val="222222"/>
          <w:sz w:val="24"/>
          <w:szCs w:val="24"/>
          <w:shd w:val="clear" w:color="auto" w:fill="FFFFFF"/>
        </w:rPr>
        <w:t>Bell et al., 2003)</w:t>
      </w:r>
      <w:r>
        <w:rPr>
          <w:rFonts w:hint="default" w:ascii="Times New Roman Regular" w:hAnsi="Times New Roman Regular" w:cs="Times New Roman Regular"/>
          <w:color w:val="333333"/>
          <w:sz w:val="24"/>
          <w:szCs w:val="24"/>
          <w:shd w:val="clear" w:color="auto" w:fill="FCFCFC"/>
        </w:rPr>
        <w:t>. </w:t>
      </w:r>
      <w:r>
        <w:rPr>
          <w:rFonts w:hint="default" w:ascii="Times New Roman Regular" w:hAnsi="Times New Roman Regular" w:cs="Times New Roman Regular"/>
          <w:color w:val="2E2E2E"/>
          <w:sz w:val="24"/>
          <w:szCs w:val="24"/>
          <w:shd w:val="clear" w:color="auto" w:fill="FFFFFF"/>
        </w:rPr>
        <w:t>There was an emphasis on the relationship between the role of home and host country contexts (Harzing &amp; Pudelko, 2016). However, what is not clear in the existing literature is how much support is facilitated and how this support impacts the B2B service internationalization process. Cooperative behaviours remain to be explored in a B2B service firm internationalization context (Crick &amp; Crick, 2020).</w:t>
      </w:r>
    </w:p>
    <w:p>
      <w:pPr>
        <w:keepNext w:val="0"/>
        <w:keepLines w:val="0"/>
        <w:pageBreakBefore w:val="0"/>
        <w:kinsoku/>
        <w:wordWrap/>
        <w:overflowPunct/>
        <w:topLinePunct w:val="0"/>
        <w:autoSpaceDN/>
        <w:bidi w:val="0"/>
        <w:adjustRightInd/>
        <w:snapToGrid/>
        <w:ind w:left="0" w:firstLine="480" w:firstLineChars="200"/>
        <w:jc w:val="both"/>
        <w:textAlignment w:val="auto"/>
        <w:rPr>
          <w:rFonts w:hint="default" w:ascii="Times New Roman Regular" w:hAnsi="Times New Roman Regular" w:cs="Times New Roman Regular"/>
          <w:color w:val="2E2E2E"/>
          <w:sz w:val="24"/>
          <w:szCs w:val="24"/>
          <w:shd w:val="clear" w:color="auto" w:fill="FFFFFF"/>
        </w:rPr>
      </w:pPr>
      <w:r>
        <w:rPr>
          <w:rFonts w:hint="default" w:ascii="Times New Roman Regular" w:hAnsi="Times New Roman Regular" w:cs="Times New Roman Regular"/>
          <w:color w:val="2E2E2E"/>
          <w:sz w:val="24"/>
          <w:szCs w:val="24"/>
          <w:shd w:val="clear" w:color="auto" w:fill="FFFFFF"/>
        </w:rPr>
        <w:t xml:space="preserve">Last but not the least, the </w:t>
      </w:r>
      <w:r>
        <w:rPr>
          <w:rFonts w:hint="default" w:ascii="Times New Roman Regular" w:hAnsi="Times New Roman Regular" w:cs="Times New Roman Regular" w:eastAsiaTheme="minorEastAsia"/>
          <w:sz w:val="24"/>
          <w:szCs w:val="24"/>
        </w:rPr>
        <w:t xml:space="preserve">orchestration of digitalization in B2B service firms' internationalization cannot be ignored. </w:t>
      </w:r>
      <w:r>
        <w:rPr>
          <w:rFonts w:hint="default" w:ascii="Times New Roman Regular" w:hAnsi="Times New Roman Regular" w:cs="Times New Roman Regular"/>
          <w:color w:val="2E2E2E"/>
          <w:sz w:val="24"/>
          <w:szCs w:val="24"/>
          <w:shd w:val="clear" w:color="auto" w:fill="FFFFFF"/>
        </w:rPr>
        <w:t>Expanding the service business in addition to the traditional core product business ensures long-term growth and strengthens the competitive advantage in the B2B market. More recently, the expansion of service businesses has adopted many new digital technologies delivered through digital transformation (Gebauer et al., 2021). Appropriate applications of information technology may simultaneously improve customer satisfaction and productivity (Anderson et al., 1997). New challenges arise when companies combine servitization and digitalization (Frank et al., 2019).</w:t>
      </w:r>
    </w:p>
    <w:p>
      <w:pPr>
        <w:pStyle w:val="11"/>
        <w:keepNext w:val="0"/>
        <w:keepLines w:val="0"/>
        <w:pageBreakBefore w:val="0"/>
        <w:numPr>
          <w:ilvl w:val="0"/>
          <w:numId w:val="1"/>
        </w:numPr>
        <w:kinsoku/>
        <w:wordWrap/>
        <w:overflowPunct/>
        <w:topLinePunct w:val="0"/>
        <w:autoSpaceDN/>
        <w:bidi w:val="0"/>
        <w:adjustRightInd/>
        <w:snapToGrid/>
        <w:ind w:left="-357" w:leftChars="0" w:firstLine="480" w:firstLineChars="200"/>
        <w:jc w:val="both"/>
        <w:textAlignment w:val="auto"/>
        <w:rPr>
          <w:rFonts w:hint="default" w:ascii="Times New Roman Regular" w:hAnsi="Times New Roman Regular" w:cs="Times New Roman Regular"/>
          <w:b/>
          <w:bCs/>
          <w:sz w:val="24"/>
          <w:szCs w:val="24"/>
        </w:rPr>
      </w:pPr>
      <w:r>
        <w:rPr>
          <w:rFonts w:hint="default" w:ascii="Times New Roman Regular" w:hAnsi="Times New Roman Regular" w:cs="Times New Roman Regular"/>
          <w:b/>
          <w:bCs/>
          <w:sz w:val="24"/>
          <w:szCs w:val="24"/>
        </w:rPr>
        <w:t xml:space="preserve">Methodology </w:t>
      </w:r>
    </w:p>
    <w:p>
      <w:pPr>
        <w:keepNext w:val="0"/>
        <w:keepLines w:val="0"/>
        <w:pageBreakBefore w:val="0"/>
        <w:kinsoku/>
        <w:wordWrap/>
        <w:overflowPunct/>
        <w:topLinePunct w:val="0"/>
        <w:autoSpaceDN/>
        <w:bidi w:val="0"/>
        <w:adjustRightInd/>
        <w:snapToGrid/>
        <w:ind w:left="0" w:firstLine="480" w:firstLineChars="200"/>
        <w:jc w:val="both"/>
        <w:textAlignment w:val="auto"/>
        <w:rPr>
          <w:rFonts w:hint="default" w:ascii="Times New Roman Regular" w:hAnsi="Times New Roman Regular" w:cs="Times New Roman Regular"/>
          <w:sz w:val="24"/>
          <w:szCs w:val="24"/>
        </w:rPr>
      </w:pPr>
      <w:r>
        <w:rPr>
          <w:rFonts w:hint="default" w:ascii="Times New Roman Regular" w:hAnsi="Times New Roman Regular" w:cs="Times New Roman Regular"/>
          <w:sz w:val="24"/>
          <w:szCs w:val="24"/>
        </w:rPr>
        <w:t xml:space="preserve">The methodology of my doctoral research project will be combined with a qualitative approach in a quantitative manner. Currently, we have concluded the research design, data collection and data analysis stages of the interviews. We identified research dimensions that emerged from existing literature and our qualitative study. Based on this, we designed a questionnaire and found targeted study groups. So far, the data collection stage has been finalised. Then I will focus on data analysis and hopefully provide valuable findings from this procedure. In this part, I am going to give a detailed description of the method I applied. Then I am going to introduce the fuzzy-set analysis I propose to apply for the next study stage with some insights. </w:t>
      </w:r>
    </w:p>
    <w:p>
      <w:pPr>
        <w:keepNext w:val="0"/>
        <w:keepLines w:val="0"/>
        <w:pageBreakBefore w:val="0"/>
        <w:kinsoku/>
        <w:wordWrap/>
        <w:overflowPunct/>
        <w:topLinePunct w:val="0"/>
        <w:autoSpaceDN/>
        <w:bidi w:val="0"/>
        <w:adjustRightInd/>
        <w:snapToGrid/>
        <w:ind w:left="0" w:firstLine="120" w:firstLineChars="50"/>
        <w:jc w:val="both"/>
        <w:textAlignment w:val="auto"/>
        <w:rPr>
          <w:rFonts w:hint="default" w:ascii="Times New Roman Regular" w:hAnsi="Times New Roman Regular" w:cs="Times New Roman Regular" w:eastAsiaTheme="minorEastAsia"/>
          <w:sz w:val="24"/>
          <w:szCs w:val="24"/>
        </w:rPr>
      </w:pPr>
      <w:r>
        <w:rPr>
          <w:rFonts w:hint="default" w:ascii="Times New Roman Regular" w:hAnsi="Times New Roman Regular" w:cs="Times New Roman Regular" w:eastAsiaTheme="minorEastAsia"/>
          <w:sz w:val="24"/>
          <w:szCs w:val="24"/>
        </w:rPr>
        <w:t xml:space="preserve">3.1. </w:t>
      </w:r>
      <w:r>
        <w:rPr>
          <w:rFonts w:hint="default" w:ascii="Times New Roman Regular" w:hAnsi="Times New Roman Regular" w:cs="Times New Roman Regular"/>
          <w:sz w:val="24"/>
          <w:szCs w:val="24"/>
        </w:rPr>
        <w:fldChar w:fldCharType="begin"/>
      </w:r>
      <w:r>
        <w:rPr>
          <w:rFonts w:hint="default" w:ascii="Times New Roman Regular" w:hAnsi="Times New Roman Regular" w:cs="Times New Roman Regular"/>
          <w:sz w:val="24"/>
          <w:szCs w:val="24"/>
        </w:rPr>
        <w:instrText xml:space="preserve"> HYPERLINK "https://books.google.it/books?hl=en&amp;lr=&amp;id=VCFsZsvZdwkC&amp;oi=fnd&amp;pg=PA347&amp;dq=interviews+guided+by+grounded+theory&amp;ots=aRYkLyGyI5&amp;sig=2t5K9c5JoN7ijO7ZZVgs4MgadtU" </w:instrText>
      </w:r>
      <w:r>
        <w:rPr>
          <w:rFonts w:hint="default" w:ascii="Times New Roman Regular" w:hAnsi="Times New Roman Regular" w:cs="Times New Roman Regular"/>
          <w:sz w:val="24"/>
          <w:szCs w:val="24"/>
        </w:rPr>
        <w:fldChar w:fldCharType="separate"/>
      </w:r>
      <w:r>
        <w:rPr>
          <w:rFonts w:hint="default" w:ascii="Times New Roman Regular" w:hAnsi="Times New Roman Regular" w:cs="Times New Roman Regular" w:eastAsiaTheme="minorEastAsia"/>
          <w:sz w:val="24"/>
          <w:szCs w:val="24"/>
        </w:rPr>
        <w:t>Qualitative interviewing and grounded theory analysis</w:t>
      </w:r>
      <w:r>
        <w:rPr>
          <w:rFonts w:hint="default" w:ascii="Times New Roman Regular" w:hAnsi="Times New Roman Regular" w:cs="Times New Roman Regular" w:eastAsiaTheme="minorEastAsia"/>
          <w:sz w:val="24"/>
          <w:szCs w:val="24"/>
        </w:rPr>
        <w:fldChar w:fldCharType="end"/>
      </w:r>
    </w:p>
    <w:p>
      <w:pPr>
        <w:keepNext w:val="0"/>
        <w:keepLines w:val="0"/>
        <w:pageBreakBefore w:val="0"/>
        <w:widowControl/>
        <w:kinsoku/>
        <w:wordWrap/>
        <w:overflowPunct/>
        <w:topLinePunct w:val="0"/>
        <w:autoSpaceDE w:val="0"/>
        <w:autoSpaceDN/>
        <w:bidi w:val="0"/>
        <w:adjustRightInd/>
        <w:snapToGrid/>
        <w:ind w:left="0" w:firstLine="480" w:firstLineChars="200"/>
        <w:jc w:val="both"/>
        <w:textAlignment w:val="auto"/>
        <w:rPr>
          <w:rFonts w:hint="default" w:ascii="Times New Roman Regular" w:hAnsi="Times New Roman Regular" w:eastAsia="URWPalladioL-Roma" w:cs="Times New Roman Regular"/>
          <w:color w:val="000000"/>
          <w:kern w:val="0"/>
          <w:sz w:val="24"/>
          <w:szCs w:val="24"/>
        </w:rPr>
      </w:pPr>
      <w:r>
        <w:rPr>
          <w:rFonts w:hint="default" w:ascii="Times New Roman Regular" w:hAnsi="Times New Roman Regular" w:cs="Times New Roman Regular"/>
          <w:sz w:val="24"/>
          <w:szCs w:val="24"/>
        </w:rPr>
        <w:t xml:space="preserve">To understand the B2B service firms’ internationalization orchestrated by digitability, in this exploratory research, </w:t>
      </w:r>
      <w:r>
        <w:rPr>
          <w:rFonts w:hint="default" w:ascii="Times New Roman Regular" w:hAnsi="Times New Roman Regular" w:eastAsia="URWPalladioL-Roma" w:cs="Times New Roman Regular"/>
          <w:color w:val="000000"/>
          <w:kern w:val="0"/>
          <w:sz w:val="24"/>
          <w:szCs w:val="24"/>
        </w:rPr>
        <w:t xml:space="preserve">we followed an inductive approach to data collection applying grounded theory </w:t>
      </w:r>
      <w:r>
        <w:rPr>
          <w:rStyle w:val="12"/>
          <w:rFonts w:hint="default" w:ascii="Times New Roman Regular" w:hAnsi="Times New Roman Regular" w:cs="Times New Roman Regular"/>
          <w:color w:val="000000" w:themeColor="text1"/>
          <w:sz w:val="24"/>
          <w:szCs w:val="24"/>
          <w14:textFill>
            <w14:solidFill>
              <w14:schemeClr w14:val="tx1"/>
            </w14:solidFill>
          </w14:textFill>
        </w:rPr>
        <w:t xml:space="preserve">(Gioia et al., 2013). </w:t>
      </w:r>
      <w:r>
        <w:rPr>
          <w:rFonts w:hint="default" w:ascii="Times New Roman Regular" w:hAnsi="Times New Roman Regular" w:eastAsia="URWPalladioL-Roma" w:cs="Times New Roman Regular"/>
          <w:color w:val="000000"/>
          <w:kern w:val="0"/>
          <w:sz w:val="24"/>
          <w:szCs w:val="24"/>
        </w:rPr>
        <w:t xml:space="preserve">We </w:t>
      </w:r>
      <w:r>
        <w:rPr>
          <w:rFonts w:hint="default" w:ascii="Times New Roman Regular" w:hAnsi="Times New Roman Regular" w:cs="Times New Roman Regular"/>
          <w:sz w:val="24"/>
          <w:szCs w:val="24"/>
        </w:rPr>
        <w:t>adopt firstly a qualitative method based on focus groups and in-depth interviews. This research design is deemed to be particularly suitable for the exploratory purpose of this study. Indeed, focus group discussions are widely used in international business research (Bloor et al., 2001) as they can help to mark distinct phenomenological dimensions and tend to be more confrontational than in-depth interviews (Cataldi, 2018). However, the focus groups analysed results less efficiently than the in-depth interviews which allow the interviewers to delve deeply into social and personal matters. In this situation, an individual in-depth interview can help to offer a superior ability to inform marketing strategy by uncovering important underlying issues (Stokes and Bergin, 2006)</w:t>
      </w:r>
      <w:r>
        <w:rPr>
          <w:rFonts w:hint="default" w:ascii="Times New Roman Regular" w:hAnsi="Times New Roman Regular" w:eastAsia="URWPalladioL-Roma" w:cs="Times New Roman Regular"/>
          <w:color w:val="000000"/>
          <w:kern w:val="0"/>
          <w:sz w:val="24"/>
          <w:szCs w:val="24"/>
        </w:rPr>
        <w:t xml:space="preserve"> </w:t>
      </w:r>
    </w:p>
    <w:p>
      <w:pPr>
        <w:keepNext w:val="0"/>
        <w:keepLines w:val="0"/>
        <w:pageBreakBefore w:val="0"/>
        <w:widowControl/>
        <w:kinsoku/>
        <w:wordWrap/>
        <w:overflowPunct/>
        <w:topLinePunct w:val="0"/>
        <w:autoSpaceDE w:val="0"/>
        <w:autoSpaceDN/>
        <w:bidi w:val="0"/>
        <w:adjustRightInd/>
        <w:snapToGrid/>
        <w:ind w:left="0" w:firstLine="480" w:firstLineChars="200"/>
        <w:jc w:val="both"/>
        <w:textAlignment w:val="auto"/>
        <w:rPr>
          <w:rFonts w:hint="default" w:ascii="Times New Roman Regular" w:hAnsi="Times New Roman Regular" w:cs="Times New Roman Regular"/>
          <w:sz w:val="24"/>
          <w:szCs w:val="24"/>
        </w:rPr>
      </w:pPr>
      <w:r>
        <w:rPr>
          <w:rFonts w:hint="default" w:ascii="Times New Roman Regular" w:hAnsi="Times New Roman Regular" w:cs="Times New Roman Regular"/>
          <w:sz w:val="24"/>
          <w:szCs w:val="24"/>
        </w:rPr>
        <w:t xml:space="preserve">Overall, such a two-phase research method is suitable at the early stages of investigation to understand the complexities of the phenomena under observation and to gain initial insights (Hanson &amp; Grimmer, 2007). The purposeful sampling technique is ideal for the identification and selection of information-rich cases related to the phenomenon of interest (Palinkas et al., 2015). We identify key informants who are professionals operating in B2B service firms who have rich international marketing experience with the hope to propose a conceptual framework that identifies critical factors. We conducted 34 semi-structured interviews following a protocol generated from the insights that emerged from the analysis of the literature. </w:t>
      </w:r>
      <w:r>
        <w:rPr>
          <w:rFonts w:hint="default" w:ascii="Times New Roman Regular" w:hAnsi="Times New Roman Regular" w:eastAsia="URWPalladioL-Roma" w:cs="Times New Roman Regular"/>
          <w:color w:val="000000"/>
          <w:kern w:val="0"/>
          <w:sz w:val="24"/>
          <w:szCs w:val="24"/>
        </w:rPr>
        <w:t>Each interview lasts around 40 minutes to 60 minutes as agreed. The sessions were electronically recorded and then manually transcript.</w:t>
      </w:r>
      <w:r>
        <w:rPr>
          <w:rFonts w:hint="default" w:ascii="Times New Roman Regular" w:hAnsi="Times New Roman Regular" w:cs="Times New Roman Regular"/>
          <w:kern w:val="0"/>
          <w:sz w:val="24"/>
          <w:szCs w:val="24"/>
        </w:rPr>
        <w:t xml:space="preserve"> </w:t>
      </w:r>
      <w:r>
        <w:rPr>
          <w:rFonts w:hint="default" w:ascii="Times New Roman Regular" w:hAnsi="Times New Roman Regular" w:cs="Times New Roman Regular"/>
          <w:sz w:val="24"/>
          <w:szCs w:val="24"/>
        </w:rPr>
        <w:t xml:space="preserve">For the data analysis, we adopt an analytical strategy (Schmidt, 2004) and a coding approach (Gioia et al., 2013). We label the first coding round, and then the second themes and final dimensions emerge to demonstrate the data structure. Initial empirical results will be presented and discussed in the next chapter after introducing the quantitative research stage of this study. </w:t>
      </w:r>
    </w:p>
    <w:p>
      <w:pPr>
        <w:keepNext w:val="0"/>
        <w:keepLines w:val="0"/>
        <w:pageBreakBefore w:val="0"/>
        <w:widowControl/>
        <w:kinsoku/>
        <w:wordWrap/>
        <w:overflowPunct/>
        <w:topLinePunct w:val="0"/>
        <w:autoSpaceDE w:val="0"/>
        <w:autoSpaceDN/>
        <w:bidi w:val="0"/>
        <w:adjustRightInd/>
        <w:snapToGrid/>
        <w:ind w:left="0" w:firstLine="120" w:firstLineChars="50"/>
        <w:jc w:val="both"/>
        <w:textAlignment w:val="auto"/>
        <w:rPr>
          <w:rFonts w:hint="default" w:ascii="Times New Roman Regular" w:hAnsi="Times New Roman Regular" w:cs="Times New Roman Regular"/>
          <w:sz w:val="24"/>
          <w:szCs w:val="24"/>
        </w:rPr>
      </w:pPr>
      <w:r>
        <w:rPr>
          <w:rFonts w:hint="default" w:ascii="Times New Roman Regular" w:hAnsi="Times New Roman Regular" w:cs="Times New Roman Regular"/>
          <w:sz w:val="24"/>
          <w:szCs w:val="24"/>
        </w:rPr>
        <w:t xml:space="preserve">3.2. Fuzzy-set qualitative comparative analysis </w:t>
      </w:r>
    </w:p>
    <w:p>
      <w:pPr>
        <w:keepNext w:val="0"/>
        <w:keepLines w:val="0"/>
        <w:pageBreakBefore w:val="0"/>
        <w:widowControl/>
        <w:kinsoku/>
        <w:wordWrap/>
        <w:overflowPunct/>
        <w:topLinePunct w:val="0"/>
        <w:autoSpaceDE w:val="0"/>
        <w:autoSpaceDN/>
        <w:bidi w:val="0"/>
        <w:adjustRightInd/>
        <w:snapToGrid/>
        <w:ind w:left="0" w:firstLine="480" w:firstLineChars="200"/>
        <w:jc w:val="both"/>
        <w:textAlignment w:val="auto"/>
        <w:rPr>
          <w:rFonts w:hint="default" w:ascii="Times New Roman Regular" w:hAnsi="Times New Roman Regular" w:cs="Times New Roman Regular"/>
          <w:sz w:val="24"/>
          <w:szCs w:val="24"/>
        </w:rPr>
      </w:pPr>
      <w:r>
        <w:rPr>
          <w:rFonts w:hint="default" w:ascii="Times New Roman Regular" w:hAnsi="Times New Roman Regular" w:cs="Times New Roman Regular"/>
          <w:sz w:val="24"/>
          <w:szCs w:val="24"/>
        </w:rPr>
        <w:t xml:space="preserve">Fuzzy-set qualitative comparative analysis (fsQCA) is a social science method developed to combine case-oriented and variable-oriented quantitative analysis (Rihoux &amp; Ragin, 2008). I employ fsQCA to explore how different combinations of conditions between companies’ digital use and other components such as service type of companies, dimension of companies, companies’ readiness and orientation of digitability etc. can link to their internalization development and degree. </w:t>
      </w:r>
    </w:p>
    <w:p>
      <w:pPr>
        <w:keepNext w:val="0"/>
        <w:keepLines w:val="0"/>
        <w:pageBreakBefore w:val="0"/>
        <w:widowControl/>
        <w:kinsoku/>
        <w:wordWrap/>
        <w:overflowPunct/>
        <w:topLinePunct w:val="0"/>
        <w:autoSpaceDE w:val="0"/>
        <w:autoSpaceDN/>
        <w:bidi w:val="0"/>
        <w:adjustRightInd/>
        <w:snapToGrid/>
        <w:ind w:left="0" w:firstLine="480" w:firstLineChars="200"/>
        <w:jc w:val="both"/>
        <w:textAlignment w:val="auto"/>
        <w:rPr>
          <w:rFonts w:hint="default" w:ascii="Times New Roman Regular" w:hAnsi="Times New Roman Regular" w:cs="Times New Roman Regular"/>
          <w:sz w:val="24"/>
          <w:szCs w:val="24"/>
        </w:rPr>
      </w:pPr>
      <w:r>
        <w:rPr>
          <w:rFonts w:hint="default" w:ascii="Times New Roman Regular" w:hAnsi="Times New Roman Regular" w:cs="Times New Roman Regular"/>
          <w:sz w:val="24"/>
          <w:szCs w:val="24"/>
        </w:rPr>
        <w:t xml:space="preserve">The reasons for applying fsQCA can be as follow. First, it is a configurational approach which can be utilized to analyse complex and causal relationships where different variables are related. Different to conventional statistical methods, it finds combinations of causal conditions (i.e., configurations) related to the outcome (Fainshmidt et al., 2020). Secondly, fsQCA is capable of larger sample groups. In this study, we distributed and received in total 156 samples from B2B service companies that are actively participating in international marketing activities. These companies belong to different conditions and varied degrees. The fsQCA method treats causal conditions to be “independent” variables. This function of configurations of conditions allows researchers to verify the necessary conditions for an outcome. It fits well in international business research because many IB theories are inherently configurational (Jovanovic and Morschett, 2022). As recommended by the formal literature, fsQCA can be performed in 3 steps, namely calibration of the construct measures, analysis of necessary conditions and examination of sufficient (combinations of) antecedent conditions (Blatter et al., 2007). </w:t>
      </w:r>
    </w:p>
    <w:p>
      <w:pPr>
        <w:keepNext w:val="0"/>
        <w:keepLines w:val="0"/>
        <w:pageBreakBefore w:val="0"/>
        <w:widowControl/>
        <w:kinsoku/>
        <w:wordWrap/>
        <w:overflowPunct/>
        <w:topLinePunct w:val="0"/>
        <w:autoSpaceDE w:val="0"/>
        <w:autoSpaceDN/>
        <w:bidi w:val="0"/>
        <w:adjustRightInd/>
        <w:snapToGrid/>
        <w:ind w:left="0" w:firstLine="480" w:firstLineChars="200"/>
        <w:jc w:val="both"/>
        <w:textAlignment w:val="auto"/>
        <w:rPr>
          <w:rFonts w:hint="default" w:ascii="Times New Roman Regular" w:hAnsi="Times New Roman Regular" w:cs="Times New Roman Regular"/>
          <w:sz w:val="24"/>
          <w:szCs w:val="24"/>
        </w:rPr>
      </w:pPr>
      <w:r>
        <w:rPr>
          <w:rFonts w:hint="default" w:ascii="Times New Roman Regular" w:hAnsi="Times New Roman Regular" w:cs="Times New Roman Regular"/>
          <w:sz w:val="24"/>
          <w:szCs w:val="24"/>
        </w:rPr>
        <w:t>In the questionnaire design stage, service-specific variables were collected through a survey of Italian B2B service companies with international businesses between April and July 2022. The respondents were marketing seniors and international project managers. They were asked to respond to the questions in the following areas: company profile, service transformation in international markets, channels and strategies of digitalization, and support of internationalization. The average duration of the questionnaire lasts 14 minutes. Respondents shared their insights and observations about their companies and the status of the B2B service industry.</w:t>
      </w:r>
    </w:p>
    <w:p>
      <w:pPr>
        <w:keepNext w:val="0"/>
        <w:keepLines w:val="0"/>
        <w:pageBreakBefore w:val="0"/>
        <w:widowControl/>
        <w:kinsoku/>
        <w:wordWrap/>
        <w:overflowPunct/>
        <w:topLinePunct w:val="0"/>
        <w:autoSpaceDE w:val="0"/>
        <w:autoSpaceDN/>
        <w:bidi w:val="0"/>
        <w:adjustRightInd/>
        <w:snapToGrid/>
        <w:ind w:left="0" w:firstLine="480" w:firstLineChars="200"/>
        <w:jc w:val="both"/>
        <w:textAlignment w:val="auto"/>
        <w:rPr>
          <w:rFonts w:hint="default" w:ascii="Times New Roman Regular" w:hAnsi="Times New Roman Regular" w:cs="Times New Roman Regular"/>
          <w:sz w:val="24"/>
          <w:szCs w:val="24"/>
        </w:rPr>
      </w:pPr>
      <w:r>
        <w:rPr>
          <w:rFonts w:hint="default" w:ascii="Times New Roman Regular" w:hAnsi="Times New Roman Regular" w:cs="Times New Roman Regular"/>
          <w:sz w:val="24"/>
          <w:szCs w:val="24"/>
        </w:rPr>
        <w:t xml:space="preserve">After the data analysis stage of interviews, 12 subdimensions are identified. 4 dimensions emerged to show the drivers of B2B service firms’ internationalization (Figure 1). </w:t>
      </w:r>
    </w:p>
    <w:p>
      <w:pPr>
        <w:keepNext w:val="0"/>
        <w:keepLines w:val="0"/>
        <w:pageBreakBefore w:val="0"/>
        <w:widowControl/>
        <w:kinsoku/>
        <w:wordWrap/>
        <w:overflowPunct/>
        <w:topLinePunct w:val="0"/>
        <w:autoSpaceDE w:val="0"/>
        <w:autoSpaceDN/>
        <w:bidi w:val="0"/>
        <w:adjustRightInd/>
        <w:snapToGrid/>
        <w:ind w:left="0" w:firstLine="400" w:firstLineChars="200"/>
        <w:jc w:val="both"/>
        <w:textAlignment w:val="auto"/>
        <w:rPr>
          <w:rFonts w:hint="default" w:ascii="Times New Roman Regular" w:hAnsi="Times New Roman Regular" w:cs="Times New Roman Regular"/>
          <w:sz w:val="20"/>
          <w:szCs w:val="20"/>
        </w:rPr>
      </w:pPr>
      <w:r>
        <w:rPr>
          <w:rFonts w:hint="default" w:ascii="Times New Roman Regular" w:hAnsi="Times New Roman Regular" w:cs="Times New Roman Regular"/>
          <w:sz w:val="20"/>
          <w:szCs w:val="20"/>
        </w:rPr>
        <w:t>Figure 1:</w:t>
      </w:r>
    </w:p>
    <w:p>
      <w:pPr>
        <w:keepNext w:val="0"/>
        <w:keepLines w:val="0"/>
        <w:pageBreakBefore w:val="0"/>
        <w:widowControl/>
        <w:kinsoku/>
        <w:wordWrap/>
        <w:overflowPunct/>
        <w:topLinePunct w:val="0"/>
        <w:autoSpaceDE w:val="0"/>
        <w:autoSpaceDN/>
        <w:bidi w:val="0"/>
        <w:adjustRightInd/>
        <w:snapToGrid/>
        <w:ind w:left="0" w:firstLine="420" w:firstLineChars="200"/>
        <w:jc w:val="center"/>
        <w:textAlignment w:val="auto"/>
        <w:rPr>
          <w:rFonts w:hint="default" w:ascii="Times New Roman Regular" w:hAnsi="Times New Roman Regular" w:cs="Times New Roman Regular"/>
          <w:sz w:val="24"/>
          <w:szCs w:val="24"/>
        </w:rPr>
      </w:pPr>
      <w:r>
        <w:rPr>
          <w:rFonts w:cs="Times New Roman"/>
          <w:sz w:val="21"/>
          <w:szCs w:val="21"/>
        </w:rPr>
        <w:drawing>
          <wp:inline distT="0" distB="0" distL="0" distR="0">
            <wp:extent cx="3659505" cy="2746375"/>
            <wp:effectExtent l="0" t="0" r="23495" b="22225"/>
            <wp:docPr id="3" name="图片 3" descr="图示&#10;&#10;描述已自动生成"/>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3" descr="图示&#10;&#10;描述已自动生成"/>
                    <pic:cNvPicPr>
                      <a:picLocks noChangeAspect="1"/>
                    </pic:cNvPicPr>
                  </pic:nvPicPr>
                  <pic:blipFill>
                    <a:blip r:embed="rId4" cstate="print">
                      <a:extLst>
                        <a:ext uri="{28A0092B-C50C-407E-A947-70E740481C1C}">
                          <a14:useLocalDpi xmlns:a14="http://schemas.microsoft.com/office/drawing/2010/main" val="0"/>
                        </a:ext>
                      </a:extLst>
                    </a:blip>
                    <a:srcRect l="17130" t="7799" r="19269" b="7335"/>
                    <a:stretch>
                      <a:fillRect/>
                    </a:stretch>
                  </pic:blipFill>
                  <pic:spPr>
                    <a:xfrm>
                      <a:off x="0" y="0"/>
                      <a:ext cx="3659505" cy="2746375"/>
                    </a:xfrm>
                    <a:prstGeom prst="rect">
                      <a:avLst/>
                    </a:prstGeom>
                    <a:ln>
                      <a:noFill/>
                    </a:ln>
                  </pic:spPr>
                </pic:pic>
              </a:graphicData>
            </a:graphic>
          </wp:inline>
        </w:drawing>
      </w:r>
    </w:p>
    <w:p>
      <w:pPr>
        <w:jc w:val="both"/>
        <w:rPr>
          <w:rFonts w:cs="Times New Roman"/>
          <w:b/>
          <w:bCs/>
          <w:sz w:val="16"/>
          <w:szCs w:val="16"/>
        </w:rPr>
      </w:pPr>
      <w:r>
        <w:rPr>
          <w:rFonts w:hint="eastAsia" w:cs="Times New Roman"/>
          <w:b/>
          <w:bCs/>
          <w:sz w:val="16"/>
          <w:szCs w:val="16"/>
        </w:rPr>
        <w:t>R</w:t>
      </w:r>
      <w:r>
        <w:rPr>
          <w:rFonts w:cs="Times New Roman"/>
          <w:b/>
          <w:bCs/>
          <w:sz w:val="16"/>
          <w:szCs w:val="16"/>
        </w:rPr>
        <w:t>eference:</w:t>
      </w:r>
    </w:p>
    <w:p>
      <w:pPr>
        <w:keepNext w:val="0"/>
        <w:keepLines w:val="0"/>
        <w:pageBreakBefore w:val="0"/>
        <w:kinsoku/>
        <w:wordWrap/>
        <w:overflowPunct/>
        <w:topLinePunct w:val="0"/>
        <w:autoSpaceDE/>
        <w:autoSpaceDN/>
        <w:bidi w:val="0"/>
        <w:adjustRightInd/>
        <w:snapToGrid/>
        <w:spacing w:line="176" w:lineRule="exact"/>
        <w:ind w:left="300" w:leftChars="0" w:right="0" w:rightChars="0" w:hanging="300" w:hangingChars="200"/>
        <w:jc w:val="both"/>
        <w:textAlignment w:val="auto"/>
        <w:rPr>
          <w:rFonts w:cs="Times New Roman"/>
          <w:sz w:val="15"/>
          <w:szCs w:val="15"/>
        </w:rPr>
      </w:pPr>
      <w:r>
        <w:rPr>
          <w:rFonts w:cs="Times New Roman"/>
          <w:color w:val="222222"/>
          <w:sz w:val="15"/>
          <w:szCs w:val="15"/>
          <w:shd w:val="clear" w:color="auto" w:fill="FFFFFF"/>
        </w:rPr>
        <w:t xml:space="preserve">Achrol, R. S., &amp; Kotler, P. (2012). Frontiers of the marketing paradigm in the third millennium. </w:t>
      </w:r>
      <w:r>
        <w:rPr>
          <w:rFonts w:cs="Times New Roman"/>
          <w:i/>
          <w:iCs/>
          <w:sz w:val="15"/>
          <w:szCs w:val="15"/>
        </w:rPr>
        <w:t>Journal of the academy of marketing science</w:t>
      </w:r>
      <w:r>
        <w:rPr>
          <w:rFonts w:cs="Times New Roman"/>
          <w:sz w:val="15"/>
          <w:szCs w:val="15"/>
        </w:rPr>
        <w:t xml:space="preserve">, </w:t>
      </w:r>
      <w:r>
        <w:rPr>
          <w:rFonts w:cs="Times New Roman"/>
          <w:i/>
          <w:iCs/>
          <w:sz w:val="15"/>
          <w:szCs w:val="15"/>
        </w:rPr>
        <w:t>40</w:t>
      </w:r>
      <w:r>
        <w:rPr>
          <w:rFonts w:cs="Times New Roman"/>
          <w:sz w:val="15"/>
          <w:szCs w:val="15"/>
        </w:rPr>
        <w:t>(1), 35-52.</w:t>
      </w:r>
    </w:p>
    <w:p>
      <w:pPr>
        <w:keepNext w:val="0"/>
        <w:keepLines w:val="0"/>
        <w:pageBreakBefore w:val="0"/>
        <w:kinsoku/>
        <w:wordWrap/>
        <w:overflowPunct/>
        <w:topLinePunct w:val="0"/>
        <w:autoSpaceDE/>
        <w:autoSpaceDN/>
        <w:bidi w:val="0"/>
        <w:adjustRightInd/>
        <w:snapToGrid/>
        <w:spacing w:line="176" w:lineRule="exact"/>
        <w:ind w:left="300" w:leftChars="0" w:right="0" w:rightChars="0" w:hanging="300" w:hangingChars="200"/>
        <w:jc w:val="both"/>
        <w:textAlignment w:val="auto"/>
        <w:rPr>
          <w:rFonts w:cs="Times New Roman"/>
          <w:sz w:val="15"/>
          <w:szCs w:val="15"/>
        </w:rPr>
      </w:pPr>
      <w:r>
        <w:rPr>
          <w:rFonts w:cs="Times New Roman"/>
          <w:color w:val="222222"/>
          <w:sz w:val="15"/>
          <w:szCs w:val="15"/>
          <w:shd w:val="clear" w:color="auto" w:fill="FFFFFF"/>
        </w:rPr>
        <w:t xml:space="preserve">Anderson, E. W., Fornell, C., &amp; Rust, R. T. (1997). Customer satisfaction, productivity, and profitability: Differences between goods and services. </w:t>
      </w:r>
      <w:r>
        <w:rPr>
          <w:rFonts w:cs="Times New Roman"/>
          <w:i/>
          <w:iCs/>
          <w:color w:val="222222"/>
          <w:sz w:val="15"/>
          <w:szCs w:val="15"/>
          <w:shd w:val="clear" w:color="auto" w:fill="FFFFFF"/>
        </w:rPr>
        <w:t>Marketing science</w:t>
      </w:r>
      <w:r>
        <w:rPr>
          <w:rFonts w:cs="Times New Roman"/>
          <w:color w:val="222222"/>
          <w:sz w:val="15"/>
          <w:szCs w:val="15"/>
          <w:shd w:val="clear" w:color="auto" w:fill="FFFFFF"/>
        </w:rPr>
        <w:t xml:space="preserve">, </w:t>
      </w:r>
      <w:r>
        <w:rPr>
          <w:rFonts w:cs="Times New Roman"/>
          <w:i/>
          <w:iCs/>
          <w:color w:val="222222"/>
          <w:sz w:val="15"/>
          <w:szCs w:val="15"/>
          <w:shd w:val="clear" w:color="auto" w:fill="FFFFFF"/>
        </w:rPr>
        <w:t>16</w:t>
      </w:r>
      <w:r>
        <w:rPr>
          <w:rFonts w:cs="Times New Roman"/>
          <w:color w:val="222222"/>
          <w:sz w:val="15"/>
          <w:szCs w:val="15"/>
          <w:shd w:val="clear" w:color="auto" w:fill="FFFFFF"/>
        </w:rPr>
        <w:t>(2), 129-145.</w:t>
      </w:r>
    </w:p>
    <w:p>
      <w:pPr>
        <w:keepNext w:val="0"/>
        <w:keepLines w:val="0"/>
        <w:pageBreakBefore w:val="0"/>
        <w:kinsoku/>
        <w:wordWrap/>
        <w:overflowPunct/>
        <w:topLinePunct w:val="0"/>
        <w:autoSpaceDE/>
        <w:autoSpaceDN/>
        <w:bidi w:val="0"/>
        <w:adjustRightInd/>
        <w:snapToGrid/>
        <w:spacing w:line="176" w:lineRule="exact"/>
        <w:ind w:left="300" w:leftChars="0" w:right="0" w:rightChars="0" w:hanging="300" w:hangingChars="200"/>
        <w:jc w:val="both"/>
        <w:textAlignment w:val="auto"/>
        <w:rPr>
          <w:rFonts w:cs="Times New Roman"/>
          <w:sz w:val="15"/>
          <w:szCs w:val="15"/>
        </w:rPr>
      </w:pPr>
      <w:r>
        <w:rPr>
          <w:rFonts w:cs="Times New Roman"/>
          <w:color w:val="222222"/>
          <w:sz w:val="15"/>
          <w:szCs w:val="15"/>
          <w:shd w:val="clear" w:color="auto" w:fill="FFFFFF"/>
        </w:rPr>
        <w:t xml:space="preserve">Bell, J., McNaughton, R., Young, S., &amp; Crick, D. (2003). Towards an integrative model of small firm internationalisation. </w:t>
      </w:r>
      <w:r>
        <w:rPr>
          <w:rFonts w:cs="Times New Roman"/>
          <w:i/>
          <w:iCs/>
          <w:color w:val="222222"/>
          <w:sz w:val="15"/>
          <w:szCs w:val="15"/>
          <w:shd w:val="clear" w:color="auto" w:fill="FFFFFF"/>
        </w:rPr>
        <w:t>Journal of international entrepreneurship</w:t>
      </w:r>
      <w:r>
        <w:rPr>
          <w:rFonts w:cs="Times New Roman"/>
          <w:color w:val="222222"/>
          <w:sz w:val="15"/>
          <w:szCs w:val="15"/>
          <w:shd w:val="clear" w:color="auto" w:fill="FFFFFF"/>
        </w:rPr>
        <w:t xml:space="preserve">, </w:t>
      </w:r>
      <w:r>
        <w:rPr>
          <w:rFonts w:cs="Times New Roman"/>
          <w:i/>
          <w:iCs/>
          <w:color w:val="222222"/>
          <w:sz w:val="15"/>
          <w:szCs w:val="15"/>
          <w:shd w:val="clear" w:color="auto" w:fill="FFFFFF"/>
        </w:rPr>
        <w:t>1</w:t>
      </w:r>
      <w:r>
        <w:rPr>
          <w:rFonts w:cs="Times New Roman"/>
          <w:color w:val="222222"/>
          <w:sz w:val="15"/>
          <w:szCs w:val="15"/>
          <w:shd w:val="clear" w:color="auto" w:fill="FFFFFF"/>
        </w:rPr>
        <w:t>(4), 339-362.</w:t>
      </w:r>
    </w:p>
    <w:p>
      <w:pPr>
        <w:keepNext w:val="0"/>
        <w:keepLines w:val="0"/>
        <w:pageBreakBefore w:val="0"/>
        <w:kinsoku/>
        <w:wordWrap/>
        <w:overflowPunct/>
        <w:topLinePunct w:val="0"/>
        <w:autoSpaceDE/>
        <w:autoSpaceDN/>
        <w:bidi w:val="0"/>
        <w:adjustRightInd/>
        <w:snapToGrid/>
        <w:spacing w:line="176" w:lineRule="exact"/>
        <w:ind w:left="300" w:leftChars="0" w:right="0" w:rightChars="0" w:hanging="300" w:hangingChars="200"/>
        <w:jc w:val="both"/>
        <w:textAlignment w:val="auto"/>
        <w:rPr>
          <w:rFonts w:cs="Times New Roman"/>
          <w:color w:val="222222"/>
          <w:sz w:val="15"/>
          <w:szCs w:val="15"/>
          <w:shd w:val="clear" w:color="auto" w:fill="FFFFFF"/>
        </w:rPr>
      </w:pPr>
      <w:r>
        <w:rPr>
          <w:rFonts w:cs="Times New Roman"/>
          <w:color w:val="222222"/>
          <w:sz w:val="15"/>
          <w:szCs w:val="15"/>
          <w:shd w:val="clear" w:color="auto" w:fill="FFFFFF"/>
        </w:rPr>
        <w:t xml:space="preserve">Biemans, W., &amp; Griffin, A. (2018). Innovation practices of B2B manufacturers and service providers: Are they really different?. </w:t>
      </w:r>
      <w:r>
        <w:rPr>
          <w:rFonts w:cs="Times New Roman"/>
          <w:i/>
          <w:iCs/>
          <w:color w:val="222222"/>
          <w:sz w:val="15"/>
          <w:szCs w:val="15"/>
          <w:shd w:val="clear" w:color="auto" w:fill="FFFFFF"/>
        </w:rPr>
        <w:t>Industrial Marketing Management</w:t>
      </w:r>
      <w:r>
        <w:rPr>
          <w:rFonts w:cs="Times New Roman"/>
          <w:color w:val="222222"/>
          <w:sz w:val="15"/>
          <w:szCs w:val="15"/>
          <w:shd w:val="clear" w:color="auto" w:fill="FFFFFF"/>
        </w:rPr>
        <w:t xml:space="preserve">, </w:t>
      </w:r>
      <w:r>
        <w:rPr>
          <w:rFonts w:cs="Times New Roman"/>
          <w:i/>
          <w:iCs/>
          <w:color w:val="222222"/>
          <w:sz w:val="15"/>
          <w:szCs w:val="15"/>
          <w:shd w:val="clear" w:color="auto" w:fill="FFFFFF"/>
        </w:rPr>
        <w:t>75</w:t>
      </w:r>
      <w:r>
        <w:rPr>
          <w:rFonts w:cs="Times New Roman"/>
          <w:color w:val="222222"/>
          <w:sz w:val="15"/>
          <w:szCs w:val="15"/>
          <w:shd w:val="clear" w:color="auto" w:fill="FFFFFF"/>
        </w:rPr>
        <w:t>, 112-124.</w:t>
      </w:r>
    </w:p>
    <w:p>
      <w:pPr>
        <w:keepNext w:val="0"/>
        <w:keepLines w:val="0"/>
        <w:pageBreakBefore w:val="0"/>
        <w:widowControl/>
        <w:kinsoku/>
        <w:wordWrap/>
        <w:overflowPunct/>
        <w:topLinePunct w:val="0"/>
        <w:autoSpaceDE/>
        <w:autoSpaceDN/>
        <w:bidi w:val="0"/>
        <w:adjustRightInd/>
        <w:snapToGrid/>
        <w:spacing w:line="176" w:lineRule="exact"/>
        <w:ind w:left="300" w:leftChars="0" w:right="0" w:rightChars="0" w:hanging="300" w:hangingChars="200"/>
        <w:jc w:val="both"/>
        <w:textAlignment w:val="auto"/>
        <w:rPr>
          <w:rFonts w:cs="Times New Roman"/>
          <w:sz w:val="15"/>
          <w:szCs w:val="15"/>
        </w:rPr>
      </w:pPr>
      <w:r>
        <w:rPr>
          <w:rFonts w:cs="Times New Roman"/>
          <w:color w:val="222222"/>
          <w:kern w:val="0"/>
          <w:sz w:val="15"/>
          <w:szCs w:val="15"/>
          <w:shd w:val="clear" w:color="auto" w:fill="FFFFFF"/>
        </w:rPr>
        <w:t xml:space="preserve">Blatter, J. K., Janning, F., &amp; Wagemann, C. (2007). Qualitative Comparative Analysis (QCA). </w:t>
      </w:r>
      <w:r>
        <w:rPr>
          <w:rFonts w:cs="Times New Roman"/>
          <w:i/>
          <w:iCs/>
          <w:color w:val="222222"/>
          <w:kern w:val="0"/>
          <w:sz w:val="15"/>
          <w:szCs w:val="15"/>
          <w:shd w:val="clear" w:color="auto" w:fill="FFFFFF"/>
        </w:rPr>
        <w:t>Qualitative Politikanalyse: Eine Einführung in Forschungsansätze und Methoden</w:t>
      </w:r>
      <w:r>
        <w:rPr>
          <w:rFonts w:cs="Times New Roman"/>
          <w:color w:val="222222"/>
          <w:kern w:val="0"/>
          <w:sz w:val="15"/>
          <w:szCs w:val="15"/>
          <w:shd w:val="clear" w:color="auto" w:fill="FFFFFF"/>
        </w:rPr>
        <w:t>, 189-235.</w:t>
      </w:r>
    </w:p>
    <w:p>
      <w:pPr>
        <w:keepNext w:val="0"/>
        <w:keepLines w:val="0"/>
        <w:pageBreakBefore w:val="0"/>
        <w:kinsoku/>
        <w:wordWrap/>
        <w:overflowPunct/>
        <w:topLinePunct w:val="0"/>
        <w:autoSpaceDE/>
        <w:autoSpaceDN/>
        <w:bidi w:val="0"/>
        <w:adjustRightInd/>
        <w:snapToGrid/>
        <w:spacing w:line="176" w:lineRule="exact"/>
        <w:ind w:left="300" w:leftChars="0" w:right="0" w:rightChars="0" w:hanging="300" w:hangingChars="200"/>
        <w:jc w:val="both"/>
        <w:textAlignment w:val="auto"/>
        <w:rPr>
          <w:rFonts w:cs="Times New Roman"/>
          <w:sz w:val="15"/>
          <w:szCs w:val="15"/>
        </w:rPr>
      </w:pPr>
      <w:r>
        <w:rPr>
          <w:rFonts w:cs="Times New Roman"/>
          <w:color w:val="222222"/>
          <w:sz w:val="15"/>
          <w:szCs w:val="15"/>
          <w:shd w:val="clear" w:color="auto" w:fill="FFFFFF"/>
        </w:rPr>
        <w:t xml:space="preserve">Bloor, M. (Ed.). (2001). </w:t>
      </w:r>
      <w:r>
        <w:rPr>
          <w:rFonts w:cs="Times New Roman"/>
          <w:i/>
          <w:iCs/>
          <w:sz w:val="15"/>
          <w:szCs w:val="15"/>
        </w:rPr>
        <w:t>Focus groups in social research</w:t>
      </w:r>
      <w:r>
        <w:rPr>
          <w:rFonts w:cs="Times New Roman"/>
          <w:sz w:val="15"/>
          <w:szCs w:val="15"/>
        </w:rPr>
        <w:t>. Sage.</w:t>
      </w:r>
    </w:p>
    <w:p>
      <w:pPr>
        <w:keepNext w:val="0"/>
        <w:keepLines w:val="0"/>
        <w:pageBreakBefore w:val="0"/>
        <w:kinsoku/>
        <w:wordWrap/>
        <w:overflowPunct/>
        <w:topLinePunct w:val="0"/>
        <w:autoSpaceDE/>
        <w:autoSpaceDN/>
        <w:bidi w:val="0"/>
        <w:adjustRightInd/>
        <w:snapToGrid/>
        <w:spacing w:line="176" w:lineRule="exact"/>
        <w:ind w:left="300" w:leftChars="0" w:right="0" w:rightChars="0" w:hanging="300" w:hangingChars="200"/>
        <w:jc w:val="both"/>
        <w:textAlignment w:val="auto"/>
        <w:rPr>
          <w:rFonts w:cs="Times New Roman"/>
          <w:color w:val="222222"/>
          <w:sz w:val="15"/>
          <w:szCs w:val="15"/>
          <w:shd w:val="clear" w:color="auto" w:fill="FFFFFF"/>
        </w:rPr>
      </w:pPr>
      <w:r>
        <w:rPr>
          <w:rFonts w:cs="Times New Roman"/>
          <w:color w:val="222222"/>
          <w:sz w:val="15"/>
          <w:szCs w:val="15"/>
          <w:shd w:val="clear" w:color="auto" w:fill="FFFFFF"/>
        </w:rPr>
        <w:t xml:space="preserve">Callaghan, C. W. (2021). Consequences of deindustrialisation for globalisation: Insights for international business. </w:t>
      </w:r>
      <w:r>
        <w:rPr>
          <w:rFonts w:cs="Times New Roman"/>
          <w:i/>
          <w:iCs/>
          <w:color w:val="222222"/>
          <w:sz w:val="15"/>
          <w:szCs w:val="15"/>
          <w:shd w:val="clear" w:color="auto" w:fill="FFFFFF"/>
        </w:rPr>
        <w:t>International Business Review</w:t>
      </w:r>
      <w:r>
        <w:rPr>
          <w:rFonts w:cs="Times New Roman"/>
          <w:color w:val="222222"/>
          <w:sz w:val="15"/>
          <w:szCs w:val="15"/>
          <w:shd w:val="clear" w:color="auto" w:fill="FFFFFF"/>
        </w:rPr>
        <w:t xml:space="preserve">, </w:t>
      </w:r>
      <w:r>
        <w:rPr>
          <w:rFonts w:cs="Times New Roman"/>
          <w:i/>
          <w:iCs/>
          <w:color w:val="222222"/>
          <w:sz w:val="15"/>
          <w:szCs w:val="15"/>
          <w:shd w:val="clear" w:color="auto" w:fill="FFFFFF"/>
        </w:rPr>
        <w:t>30</w:t>
      </w:r>
      <w:r>
        <w:rPr>
          <w:rFonts w:cs="Times New Roman"/>
          <w:color w:val="222222"/>
          <w:sz w:val="15"/>
          <w:szCs w:val="15"/>
          <w:shd w:val="clear" w:color="auto" w:fill="FFFFFF"/>
        </w:rPr>
        <w:t>(3), 101804.</w:t>
      </w:r>
    </w:p>
    <w:p>
      <w:pPr>
        <w:keepNext w:val="0"/>
        <w:keepLines w:val="0"/>
        <w:pageBreakBefore w:val="0"/>
        <w:kinsoku/>
        <w:wordWrap/>
        <w:overflowPunct/>
        <w:topLinePunct w:val="0"/>
        <w:autoSpaceDE/>
        <w:autoSpaceDN/>
        <w:bidi w:val="0"/>
        <w:adjustRightInd/>
        <w:snapToGrid/>
        <w:spacing w:line="176" w:lineRule="exact"/>
        <w:ind w:left="300" w:leftChars="0" w:right="0" w:rightChars="0" w:hanging="300" w:hangingChars="200"/>
        <w:jc w:val="both"/>
        <w:textAlignment w:val="auto"/>
        <w:rPr>
          <w:rFonts w:cs="Times New Roman"/>
          <w:sz w:val="15"/>
          <w:szCs w:val="15"/>
        </w:rPr>
      </w:pPr>
      <w:r>
        <w:rPr>
          <w:rFonts w:cs="Times New Roman"/>
          <w:color w:val="222222"/>
          <w:sz w:val="15"/>
          <w:szCs w:val="15"/>
          <w:shd w:val="clear" w:color="auto" w:fill="FFFFFF"/>
        </w:rPr>
        <w:t xml:space="preserve">Cataldi, S. (2018). A proposal for the analysis of the relational dimension in the interview techniques: a pilot study on in-depth interviews and focus groups. </w:t>
      </w:r>
      <w:r>
        <w:rPr>
          <w:rFonts w:cs="Times New Roman"/>
          <w:i/>
          <w:iCs/>
          <w:sz w:val="15"/>
          <w:szCs w:val="15"/>
        </w:rPr>
        <w:t>Quality &amp; Quantity</w:t>
      </w:r>
      <w:r>
        <w:rPr>
          <w:rFonts w:cs="Times New Roman"/>
          <w:sz w:val="15"/>
          <w:szCs w:val="15"/>
        </w:rPr>
        <w:t xml:space="preserve">, </w:t>
      </w:r>
      <w:r>
        <w:rPr>
          <w:rFonts w:cs="Times New Roman"/>
          <w:i/>
          <w:iCs/>
          <w:sz w:val="15"/>
          <w:szCs w:val="15"/>
        </w:rPr>
        <w:t>52</w:t>
      </w:r>
      <w:r>
        <w:rPr>
          <w:rFonts w:cs="Times New Roman"/>
          <w:sz w:val="15"/>
          <w:szCs w:val="15"/>
        </w:rPr>
        <w:t>(1), 295-312.</w:t>
      </w:r>
    </w:p>
    <w:p>
      <w:pPr>
        <w:keepNext w:val="0"/>
        <w:keepLines w:val="0"/>
        <w:pageBreakBefore w:val="0"/>
        <w:kinsoku/>
        <w:wordWrap/>
        <w:overflowPunct/>
        <w:topLinePunct w:val="0"/>
        <w:autoSpaceDE/>
        <w:autoSpaceDN/>
        <w:bidi w:val="0"/>
        <w:adjustRightInd/>
        <w:snapToGrid/>
        <w:spacing w:line="176" w:lineRule="exact"/>
        <w:ind w:left="300" w:leftChars="0" w:right="0" w:rightChars="0" w:hanging="300" w:hangingChars="200"/>
        <w:jc w:val="both"/>
        <w:textAlignment w:val="auto"/>
        <w:rPr>
          <w:rFonts w:cs="Times New Roman"/>
          <w:color w:val="222222"/>
          <w:sz w:val="15"/>
          <w:szCs w:val="15"/>
          <w:shd w:val="clear" w:color="auto" w:fill="FFFFFF"/>
        </w:rPr>
      </w:pPr>
      <w:r>
        <w:rPr>
          <w:rFonts w:cs="Times New Roman"/>
          <w:color w:val="222222"/>
          <w:sz w:val="15"/>
          <w:szCs w:val="15"/>
          <w:shd w:val="clear" w:color="auto" w:fill="FFFFFF"/>
        </w:rPr>
        <w:t xml:space="preserve">Casidy, R., &amp; Nyadzayo, M. (2019). Drivers and outcomes of relationship quality with professional service firms: An SME owner-manager perspective. </w:t>
      </w:r>
      <w:r>
        <w:rPr>
          <w:rFonts w:cs="Times New Roman"/>
          <w:i/>
          <w:iCs/>
          <w:color w:val="222222"/>
          <w:sz w:val="15"/>
          <w:szCs w:val="15"/>
          <w:shd w:val="clear" w:color="auto" w:fill="FFFFFF"/>
        </w:rPr>
        <w:t>Industrial Marketing Management</w:t>
      </w:r>
      <w:r>
        <w:rPr>
          <w:rFonts w:cs="Times New Roman"/>
          <w:color w:val="222222"/>
          <w:sz w:val="15"/>
          <w:szCs w:val="15"/>
          <w:shd w:val="clear" w:color="auto" w:fill="FFFFFF"/>
        </w:rPr>
        <w:t xml:space="preserve">, </w:t>
      </w:r>
      <w:r>
        <w:rPr>
          <w:rFonts w:cs="Times New Roman"/>
          <w:i/>
          <w:iCs/>
          <w:color w:val="222222"/>
          <w:sz w:val="15"/>
          <w:szCs w:val="15"/>
          <w:shd w:val="clear" w:color="auto" w:fill="FFFFFF"/>
        </w:rPr>
        <w:t>78</w:t>
      </w:r>
      <w:r>
        <w:rPr>
          <w:rFonts w:cs="Times New Roman"/>
          <w:color w:val="222222"/>
          <w:sz w:val="15"/>
          <w:szCs w:val="15"/>
          <w:shd w:val="clear" w:color="auto" w:fill="FFFFFF"/>
        </w:rPr>
        <w:t>, 27-42.</w:t>
      </w:r>
    </w:p>
    <w:p>
      <w:pPr>
        <w:keepNext w:val="0"/>
        <w:keepLines w:val="0"/>
        <w:pageBreakBefore w:val="0"/>
        <w:widowControl/>
        <w:kinsoku/>
        <w:wordWrap/>
        <w:overflowPunct/>
        <w:topLinePunct w:val="0"/>
        <w:autoSpaceDE/>
        <w:autoSpaceDN/>
        <w:bidi w:val="0"/>
        <w:adjustRightInd/>
        <w:snapToGrid/>
        <w:spacing w:line="176" w:lineRule="exact"/>
        <w:ind w:left="300" w:leftChars="0" w:right="0" w:rightChars="0" w:hanging="300" w:hangingChars="200"/>
        <w:jc w:val="both"/>
        <w:textAlignment w:val="auto"/>
        <w:rPr>
          <w:rFonts w:cs="Times New Roman"/>
          <w:sz w:val="15"/>
          <w:szCs w:val="15"/>
        </w:rPr>
      </w:pPr>
      <w:r>
        <w:rPr>
          <w:rFonts w:cs="Times New Roman"/>
          <w:color w:val="222222"/>
          <w:kern w:val="0"/>
          <w:sz w:val="15"/>
          <w:szCs w:val="15"/>
          <w:shd w:val="clear" w:color="auto" w:fill="FFFFFF"/>
        </w:rPr>
        <w:t xml:space="preserve">Crick, J. M., &amp; Crick, D. (2020). Coopetition and COVID-19: Collaborative business-to-business marketing strategies in a pandemic crisis. </w:t>
      </w:r>
      <w:r>
        <w:rPr>
          <w:rFonts w:cs="Times New Roman"/>
          <w:i/>
          <w:iCs/>
          <w:color w:val="222222"/>
          <w:kern w:val="0"/>
          <w:sz w:val="15"/>
          <w:szCs w:val="15"/>
          <w:shd w:val="clear" w:color="auto" w:fill="FFFFFF"/>
        </w:rPr>
        <w:t>Industrial Marketing Management</w:t>
      </w:r>
      <w:r>
        <w:rPr>
          <w:rFonts w:cs="Times New Roman"/>
          <w:color w:val="222222"/>
          <w:kern w:val="0"/>
          <w:sz w:val="15"/>
          <w:szCs w:val="15"/>
          <w:shd w:val="clear" w:color="auto" w:fill="FFFFFF"/>
        </w:rPr>
        <w:t xml:space="preserve">, </w:t>
      </w:r>
      <w:r>
        <w:rPr>
          <w:rFonts w:cs="Times New Roman"/>
          <w:i/>
          <w:iCs/>
          <w:color w:val="222222"/>
          <w:kern w:val="0"/>
          <w:sz w:val="15"/>
          <w:szCs w:val="15"/>
          <w:shd w:val="clear" w:color="auto" w:fill="FFFFFF"/>
        </w:rPr>
        <w:t>88</w:t>
      </w:r>
      <w:r>
        <w:rPr>
          <w:rFonts w:cs="Times New Roman"/>
          <w:color w:val="222222"/>
          <w:kern w:val="0"/>
          <w:sz w:val="15"/>
          <w:szCs w:val="15"/>
          <w:shd w:val="clear" w:color="auto" w:fill="FFFFFF"/>
        </w:rPr>
        <w:t>, 206-213.</w:t>
      </w:r>
    </w:p>
    <w:p>
      <w:pPr>
        <w:keepNext w:val="0"/>
        <w:keepLines w:val="0"/>
        <w:pageBreakBefore w:val="0"/>
        <w:widowControl/>
        <w:kinsoku/>
        <w:wordWrap/>
        <w:overflowPunct/>
        <w:topLinePunct w:val="0"/>
        <w:autoSpaceDE/>
        <w:autoSpaceDN/>
        <w:bidi w:val="0"/>
        <w:adjustRightInd/>
        <w:snapToGrid/>
        <w:spacing w:line="176" w:lineRule="exact"/>
        <w:ind w:left="300" w:leftChars="0" w:right="0" w:rightChars="0" w:hanging="300" w:hangingChars="200"/>
        <w:jc w:val="both"/>
        <w:textAlignment w:val="auto"/>
        <w:rPr>
          <w:rFonts w:cs="Times New Roman"/>
          <w:color w:val="222222"/>
          <w:sz w:val="15"/>
          <w:szCs w:val="15"/>
          <w:shd w:val="clear" w:color="auto" w:fill="FFFFFF"/>
        </w:rPr>
      </w:pPr>
      <w:r>
        <w:rPr>
          <w:rFonts w:cs="Times New Roman"/>
          <w:color w:val="222222"/>
          <w:kern w:val="0"/>
          <w:sz w:val="15"/>
          <w:szCs w:val="15"/>
          <w:shd w:val="clear" w:color="auto" w:fill="FFFFFF"/>
        </w:rPr>
        <w:t xml:space="preserve">Cortez, R. M., &amp; Johnston, W. J. (2020). The Coronavirus crisis in B2B settings: Crisis uniqueness and managerial implications based on social exchange theory. </w:t>
      </w:r>
      <w:r>
        <w:rPr>
          <w:rFonts w:cs="Times New Roman"/>
          <w:i/>
          <w:iCs/>
          <w:color w:val="222222"/>
          <w:kern w:val="0"/>
          <w:sz w:val="15"/>
          <w:szCs w:val="15"/>
          <w:shd w:val="clear" w:color="auto" w:fill="FFFFFF"/>
        </w:rPr>
        <w:t>Industrial Marketing Management</w:t>
      </w:r>
      <w:r>
        <w:rPr>
          <w:rFonts w:cs="Times New Roman"/>
          <w:color w:val="222222"/>
          <w:kern w:val="0"/>
          <w:sz w:val="15"/>
          <w:szCs w:val="15"/>
          <w:shd w:val="clear" w:color="auto" w:fill="FFFFFF"/>
        </w:rPr>
        <w:t xml:space="preserve">, </w:t>
      </w:r>
      <w:r>
        <w:rPr>
          <w:rFonts w:cs="Times New Roman"/>
          <w:i/>
          <w:iCs/>
          <w:color w:val="222222"/>
          <w:kern w:val="0"/>
          <w:sz w:val="15"/>
          <w:szCs w:val="15"/>
          <w:shd w:val="clear" w:color="auto" w:fill="FFFFFF"/>
        </w:rPr>
        <w:t>88</w:t>
      </w:r>
      <w:r>
        <w:rPr>
          <w:rFonts w:cs="Times New Roman"/>
          <w:color w:val="222222"/>
          <w:kern w:val="0"/>
          <w:sz w:val="15"/>
          <w:szCs w:val="15"/>
          <w:shd w:val="clear" w:color="auto" w:fill="FFFFFF"/>
        </w:rPr>
        <w:t>, 125-135.</w:t>
      </w:r>
    </w:p>
    <w:p>
      <w:pPr>
        <w:keepNext w:val="0"/>
        <w:keepLines w:val="0"/>
        <w:pageBreakBefore w:val="0"/>
        <w:kinsoku/>
        <w:wordWrap/>
        <w:overflowPunct/>
        <w:topLinePunct w:val="0"/>
        <w:autoSpaceDE/>
        <w:autoSpaceDN/>
        <w:bidi w:val="0"/>
        <w:adjustRightInd/>
        <w:snapToGrid/>
        <w:spacing w:line="176" w:lineRule="exact"/>
        <w:ind w:left="300" w:leftChars="0" w:right="0" w:rightChars="0" w:hanging="300" w:hangingChars="200"/>
        <w:jc w:val="both"/>
        <w:textAlignment w:val="auto"/>
        <w:rPr>
          <w:rFonts w:cs="Times New Roman"/>
          <w:color w:val="222222"/>
          <w:sz w:val="15"/>
          <w:szCs w:val="15"/>
          <w:shd w:val="clear" w:color="auto" w:fill="FFFFFF"/>
        </w:rPr>
      </w:pPr>
      <w:r>
        <w:rPr>
          <w:rFonts w:cs="Times New Roman"/>
          <w:color w:val="222222"/>
          <w:sz w:val="15"/>
          <w:szCs w:val="15"/>
          <w:shd w:val="clear" w:color="auto" w:fill="FFFFFF"/>
        </w:rPr>
        <w:t xml:space="preserve">Davis, D. F., Golicic, S. L., &amp; Marquardt, A. J. (2008). Branding a B2B service: does a brand differentiate a logistics service provider?. </w:t>
      </w:r>
      <w:r>
        <w:rPr>
          <w:rFonts w:cs="Times New Roman"/>
          <w:i/>
          <w:iCs/>
          <w:color w:val="222222"/>
          <w:sz w:val="15"/>
          <w:szCs w:val="15"/>
          <w:shd w:val="clear" w:color="auto" w:fill="FFFFFF"/>
        </w:rPr>
        <w:t>Industrial Marketing Management</w:t>
      </w:r>
      <w:r>
        <w:rPr>
          <w:rFonts w:cs="Times New Roman"/>
          <w:color w:val="222222"/>
          <w:sz w:val="15"/>
          <w:szCs w:val="15"/>
          <w:shd w:val="clear" w:color="auto" w:fill="FFFFFF"/>
        </w:rPr>
        <w:t xml:space="preserve">, </w:t>
      </w:r>
      <w:r>
        <w:rPr>
          <w:rFonts w:cs="Times New Roman"/>
          <w:i/>
          <w:iCs/>
          <w:color w:val="222222"/>
          <w:sz w:val="15"/>
          <w:szCs w:val="15"/>
          <w:shd w:val="clear" w:color="auto" w:fill="FFFFFF"/>
        </w:rPr>
        <w:t>37</w:t>
      </w:r>
      <w:r>
        <w:rPr>
          <w:rFonts w:cs="Times New Roman"/>
          <w:color w:val="222222"/>
          <w:sz w:val="15"/>
          <w:szCs w:val="15"/>
          <w:shd w:val="clear" w:color="auto" w:fill="FFFFFF"/>
        </w:rPr>
        <w:t>(2), 218-227.</w:t>
      </w:r>
    </w:p>
    <w:p>
      <w:pPr>
        <w:keepNext w:val="0"/>
        <w:keepLines w:val="0"/>
        <w:pageBreakBefore w:val="0"/>
        <w:widowControl/>
        <w:kinsoku/>
        <w:wordWrap/>
        <w:overflowPunct/>
        <w:topLinePunct w:val="0"/>
        <w:autoSpaceDE/>
        <w:autoSpaceDN/>
        <w:bidi w:val="0"/>
        <w:adjustRightInd/>
        <w:snapToGrid/>
        <w:spacing w:line="176" w:lineRule="exact"/>
        <w:ind w:left="300" w:leftChars="0" w:right="0" w:rightChars="0" w:hanging="300" w:hangingChars="200"/>
        <w:jc w:val="both"/>
        <w:textAlignment w:val="auto"/>
        <w:rPr>
          <w:rFonts w:cs="Times New Roman"/>
          <w:color w:val="222222"/>
          <w:sz w:val="15"/>
          <w:szCs w:val="15"/>
          <w:shd w:val="clear" w:color="auto" w:fill="FFFFFF"/>
        </w:rPr>
      </w:pPr>
      <w:r>
        <w:rPr>
          <w:rFonts w:cs="Times New Roman"/>
          <w:color w:val="222222"/>
          <w:kern w:val="0"/>
          <w:sz w:val="15"/>
          <w:szCs w:val="15"/>
          <w:shd w:val="clear" w:color="auto" w:fill="FFFFFF"/>
        </w:rPr>
        <w:t xml:space="preserve">Dekimpe, M. G., &amp; Deleersnyder, B. (2018). Business cycle research in marketing: a review and research agenda. </w:t>
      </w:r>
      <w:r>
        <w:rPr>
          <w:rFonts w:cs="Times New Roman"/>
          <w:i/>
          <w:iCs/>
          <w:color w:val="222222"/>
          <w:kern w:val="0"/>
          <w:sz w:val="15"/>
          <w:szCs w:val="15"/>
          <w:shd w:val="clear" w:color="auto" w:fill="FFFFFF"/>
        </w:rPr>
        <w:t>Journal of the Academy of Marketing Science</w:t>
      </w:r>
      <w:r>
        <w:rPr>
          <w:rFonts w:cs="Times New Roman"/>
          <w:color w:val="222222"/>
          <w:kern w:val="0"/>
          <w:sz w:val="15"/>
          <w:szCs w:val="15"/>
          <w:shd w:val="clear" w:color="auto" w:fill="FFFFFF"/>
        </w:rPr>
        <w:t xml:space="preserve">, </w:t>
      </w:r>
      <w:r>
        <w:rPr>
          <w:rFonts w:cs="Times New Roman"/>
          <w:i/>
          <w:iCs/>
          <w:color w:val="222222"/>
          <w:kern w:val="0"/>
          <w:sz w:val="15"/>
          <w:szCs w:val="15"/>
          <w:shd w:val="clear" w:color="auto" w:fill="FFFFFF"/>
        </w:rPr>
        <w:t>46</w:t>
      </w:r>
      <w:r>
        <w:rPr>
          <w:rFonts w:cs="Times New Roman"/>
          <w:color w:val="222222"/>
          <w:kern w:val="0"/>
          <w:sz w:val="15"/>
          <w:szCs w:val="15"/>
          <w:shd w:val="clear" w:color="auto" w:fill="FFFFFF"/>
        </w:rPr>
        <w:t>(1), 31-58.</w:t>
      </w:r>
    </w:p>
    <w:p>
      <w:pPr>
        <w:keepNext w:val="0"/>
        <w:keepLines w:val="0"/>
        <w:pageBreakBefore w:val="0"/>
        <w:kinsoku/>
        <w:wordWrap/>
        <w:overflowPunct/>
        <w:topLinePunct w:val="0"/>
        <w:autoSpaceDE/>
        <w:autoSpaceDN/>
        <w:bidi w:val="0"/>
        <w:adjustRightInd/>
        <w:snapToGrid/>
        <w:spacing w:line="176" w:lineRule="exact"/>
        <w:ind w:left="300" w:leftChars="0" w:right="0" w:rightChars="0" w:hanging="300" w:hangingChars="200"/>
        <w:jc w:val="both"/>
        <w:textAlignment w:val="auto"/>
        <w:rPr>
          <w:rFonts w:cs="Times New Roman"/>
          <w:sz w:val="15"/>
          <w:szCs w:val="15"/>
        </w:rPr>
      </w:pPr>
      <w:r>
        <w:rPr>
          <w:rFonts w:cs="Times New Roman"/>
          <w:color w:val="222222"/>
          <w:sz w:val="15"/>
          <w:szCs w:val="15"/>
          <w:shd w:val="clear" w:color="auto" w:fill="FFFFFF"/>
        </w:rPr>
        <w:t xml:space="preserve">Doney, P. M., Barry, J. M., &amp; Abratt, R. (2007). Trust determinants and outcomes in global B2B services. </w:t>
      </w:r>
      <w:r>
        <w:rPr>
          <w:rFonts w:cs="Times New Roman"/>
          <w:i/>
          <w:iCs/>
          <w:color w:val="222222"/>
          <w:sz w:val="15"/>
          <w:szCs w:val="15"/>
          <w:shd w:val="clear" w:color="auto" w:fill="FFFFFF"/>
        </w:rPr>
        <w:t>European Journal of marketing</w:t>
      </w:r>
      <w:r>
        <w:rPr>
          <w:rFonts w:cs="Times New Roman"/>
          <w:color w:val="222222"/>
          <w:sz w:val="15"/>
          <w:szCs w:val="15"/>
          <w:shd w:val="clear" w:color="auto" w:fill="FFFFFF"/>
        </w:rPr>
        <w:t>.</w:t>
      </w:r>
    </w:p>
    <w:p>
      <w:pPr>
        <w:keepNext w:val="0"/>
        <w:keepLines w:val="0"/>
        <w:pageBreakBefore w:val="0"/>
        <w:kinsoku/>
        <w:wordWrap/>
        <w:overflowPunct/>
        <w:topLinePunct w:val="0"/>
        <w:autoSpaceDE/>
        <w:autoSpaceDN/>
        <w:bidi w:val="0"/>
        <w:adjustRightInd/>
        <w:snapToGrid/>
        <w:spacing w:line="176" w:lineRule="exact"/>
        <w:ind w:left="300" w:leftChars="0" w:right="0" w:rightChars="0" w:hanging="300" w:hangingChars="200"/>
        <w:jc w:val="both"/>
        <w:textAlignment w:val="auto"/>
        <w:rPr>
          <w:rFonts w:cs="Times New Roman"/>
          <w:color w:val="222222"/>
          <w:sz w:val="15"/>
          <w:szCs w:val="15"/>
          <w:shd w:val="clear" w:color="auto" w:fill="FFFFFF"/>
        </w:rPr>
      </w:pPr>
      <w:r>
        <w:rPr>
          <w:rFonts w:cs="Times New Roman"/>
          <w:color w:val="222222"/>
          <w:sz w:val="15"/>
          <w:szCs w:val="15"/>
          <w:shd w:val="clear" w:color="auto" w:fill="FFFFFF"/>
        </w:rPr>
        <w:t xml:space="preserve">Eisingerich, A. B., &amp; Bell, S. J. (2008). Managing networks of interorganizational linkages and sustainable firm performance in business‐to‐business service contexts. </w:t>
      </w:r>
      <w:r>
        <w:rPr>
          <w:rFonts w:cs="Times New Roman"/>
          <w:i/>
          <w:iCs/>
          <w:color w:val="222222"/>
          <w:sz w:val="15"/>
          <w:szCs w:val="15"/>
          <w:shd w:val="clear" w:color="auto" w:fill="FFFFFF"/>
        </w:rPr>
        <w:t>Journal of Services Marketing</w:t>
      </w:r>
      <w:r>
        <w:rPr>
          <w:rFonts w:cs="Times New Roman"/>
          <w:color w:val="222222"/>
          <w:sz w:val="15"/>
          <w:szCs w:val="15"/>
          <w:shd w:val="clear" w:color="auto" w:fill="FFFFFF"/>
        </w:rPr>
        <w:t>.</w:t>
      </w:r>
    </w:p>
    <w:p>
      <w:pPr>
        <w:keepNext w:val="0"/>
        <w:keepLines w:val="0"/>
        <w:pageBreakBefore w:val="0"/>
        <w:widowControl/>
        <w:kinsoku/>
        <w:wordWrap/>
        <w:overflowPunct/>
        <w:topLinePunct w:val="0"/>
        <w:autoSpaceDE/>
        <w:autoSpaceDN/>
        <w:bidi w:val="0"/>
        <w:adjustRightInd/>
        <w:snapToGrid/>
        <w:spacing w:line="176" w:lineRule="exact"/>
        <w:ind w:left="300" w:leftChars="0" w:right="0" w:rightChars="0" w:hanging="300" w:hangingChars="200"/>
        <w:jc w:val="both"/>
        <w:textAlignment w:val="auto"/>
        <w:rPr>
          <w:rFonts w:cs="Times New Roman"/>
          <w:color w:val="222222"/>
          <w:sz w:val="15"/>
          <w:szCs w:val="15"/>
          <w:shd w:val="clear" w:color="auto" w:fill="FFFFFF"/>
        </w:rPr>
      </w:pPr>
      <w:r>
        <w:rPr>
          <w:rFonts w:cs="Times New Roman"/>
          <w:color w:val="222222"/>
          <w:kern w:val="0"/>
          <w:sz w:val="15"/>
          <w:szCs w:val="15"/>
          <w:shd w:val="clear" w:color="auto" w:fill="FFFFFF"/>
        </w:rPr>
        <w:t xml:space="preserve">Fainshmidt, S., Witt, M. A., Aguilera, R. V., &amp; Verbeke, A. (2020). The contributions of qualitative comparative analysis (QCA) to international business research. </w:t>
      </w:r>
      <w:r>
        <w:rPr>
          <w:rFonts w:cs="Times New Roman"/>
          <w:i/>
          <w:iCs/>
          <w:color w:val="222222"/>
          <w:kern w:val="0"/>
          <w:sz w:val="15"/>
          <w:szCs w:val="15"/>
          <w:shd w:val="clear" w:color="auto" w:fill="FFFFFF"/>
        </w:rPr>
        <w:t>Journal of International Business Studies</w:t>
      </w:r>
      <w:r>
        <w:rPr>
          <w:rFonts w:cs="Times New Roman"/>
          <w:color w:val="222222"/>
          <w:kern w:val="0"/>
          <w:sz w:val="15"/>
          <w:szCs w:val="15"/>
          <w:shd w:val="clear" w:color="auto" w:fill="FFFFFF"/>
        </w:rPr>
        <w:t xml:space="preserve">, </w:t>
      </w:r>
      <w:r>
        <w:rPr>
          <w:rFonts w:cs="Times New Roman"/>
          <w:i/>
          <w:iCs/>
          <w:color w:val="222222"/>
          <w:kern w:val="0"/>
          <w:sz w:val="15"/>
          <w:szCs w:val="15"/>
          <w:shd w:val="clear" w:color="auto" w:fill="FFFFFF"/>
        </w:rPr>
        <w:t>51</w:t>
      </w:r>
      <w:r>
        <w:rPr>
          <w:rFonts w:cs="Times New Roman"/>
          <w:color w:val="222222"/>
          <w:kern w:val="0"/>
          <w:sz w:val="15"/>
          <w:szCs w:val="15"/>
          <w:shd w:val="clear" w:color="auto" w:fill="FFFFFF"/>
        </w:rPr>
        <w:t>(4), 455-466.</w:t>
      </w:r>
    </w:p>
    <w:p>
      <w:pPr>
        <w:keepNext w:val="0"/>
        <w:keepLines w:val="0"/>
        <w:pageBreakBefore w:val="0"/>
        <w:widowControl/>
        <w:kinsoku/>
        <w:wordWrap/>
        <w:overflowPunct/>
        <w:topLinePunct w:val="0"/>
        <w:autoSpaceDE/>
        <w:autoSpaceDN/>
        <w:bidi w:val="0"/>
        <w:adjustRightInd/>
        <w:snapToGrid/>
        <w:spacing w:line="176" w:lineRule="exact"/>
        <w:ind w:left="300" w:leftChars="0" w:right="0" w:rightChars="0" w:hanging="300" w:hangingChars="200"/>
        <w:jc w:val="both"/>
        <w:textAlignment w:val="auto"/>
        <w:rPr>
          <w:rFonts w:cs="Times New Roman"/>
          <w:sz w:val="15"/>
          <w:szCs w:val="15"/>
        </w:rPr>
      </w:pPr>
      <w:r>
        <w:rPr>
          <w:rFonts w:cs="Times New Roman"/>
          <w:color w:val="222222"/>
          <w:kern w:val="0"/>
          <w:sz w:val="15"/>
          <w:szCs w:val="15"/>
          <w:shd w:val="clear" w:color="auto" w:fill="FFFFFF"/>
        </w:rPr>
        <w:t xml:space="preserve">Frank, A. G., Mendes, G. H., Ayala, N. F., &amp; Ghezzi, A. (2019). Servitization and Industry 4.0 convergence in the digital transformation of product firms: A business model innovation perspective. </w:t>
      </w:r>
      <w:r>
        <w:rPr>
          <w:rFonts w:cs="Times New Roman"/>
          <w:i/>
          <w:iCs/>
          <w:color w:val="222222"/>
          <w:kern w:val="0"/>
          <w:sz w:val="15"/>
          <w:szCs w:val="15"/>
          <w:shd w:val="clear" w:color="auto" w:fill="FFFFFF"/>
        </w:rPr>
        <w:t>Technological Forecasting and Social Change</w:t>
      </w:r>
      <w:r>
        <w:rPr>
          <w:rFonts w:cs="Times New Roman"/>
          <w:color w:val="222222"/>
          <w:kern w:val="0"/>
          <w:sz w:val="15"/>
          <w:szCs w:val="15"/>
          <w:shd w:val="clear" w:color="auto" w:fill="FFFFFF"/>
        </w:rPr>
        <w:t xml:space="preserve">, </w:t>
      </w:r>
      <w:r>
        <w:rPr>
          <w:rFonts w:cs="Times New Roman"/>
          <w:i/>
          <w:iCs/>
          <w:color w:val="222222"/>
          <w:kern w:val="0"/>
          <w:sz w:val="15"/>
          <w:szCs w:val="15"/>
          <w:shd w:val="clear" w:color="auto" w:fill="FFFFFF"/>
        </w:rPr>
        <w:t>141</w:t>
      </w:r>
      <w:r>
        <w:rPr>
          <w:rFonts w:cs="Times New Roman"/>
          <w:color w:val="222222"/>
          <w:kern w:val="0"/>
          <w:sz w:val="15"/>
          <w:szCs w:val="15"/>
          <w:shd w:val="clear" w:color="auto" w:fill="FFFFFF"/>
        </w:rPr>
        <w:t>, 341-351.</w:t>
      </w:r>
    </w:p>
    <w:p>
      <w:pPr>
        <w:keepNext w:val="0"/>
        <w:keepLines w:val="0"/>
        <w:pageBreakBefore w:val="0"/>
        <w:kinsoku/>
        <w:wordWrap/>
        <w:overflowPunct/>
        <w:topLinePunct w:val="0"/>
        <w:autoSpaceDE/>
        <w:autoSpaceDN/>
        <w:bidi w:val="0"/>
        <w:adjustRightInd/>
        <w:snapToGrid/>
        <w:spacing w:line="176" w:lineRule="exact"/>
        <w:ind w:left="300" w:leftChars="0" w:right="0" w:rightChars="0" w:hanging="300" w:hangingChars="200"/>
        <w:jc w:val="both"/>
        <w:textAlignment w:val="auto"/>
        <w:rPr>
          <w:rFonts w:cs="Times New Roman"/>
          <w:color w:val="222222"/>
          <w:sz w:val="15"/>
          <w:szCs w:val="15"/>
          <w:shd w:val="clear" w:color="auto" w:fill="FFFFFF"/>
        </w:rPr>
      </w:pPr>
      <w:r>
        <w:rPr>
          <w:rFonts w:cs="Times New Roman"/>
          <w:color w:val="222222"/>
          <w:sz w:val="15"/>
          <w:szCs w:val="15"/>
          <w:shd w:val="clear" w:color="auto" w:fill="FFFFFF"/>
        </w:rPr>
        <w:t xml:space="preserve">Gansser, O. A., Boßow-Thies, S., &amp; Krol, B. (2021). Creating trust and commitment in B2B services. </w:t>
      </w:r>
      <w:r>
        <w:rPr>
          <w:rFonts w:cs="Times New Roman"/>
          <w:i/>
          <w:iCs/>
          <w:color w:val="222222"/>
          <w:sz w:val="15"/>
          <w:szCs w:val="15"/>
          <w:shd w:val="clear" w:color="auto" w:fill="FFFFFF"/>
        </w:rPr>
        <w:t>Industrial Marketing Management</w:t>
      </w:r>
      <w:r>
        <w:rPr>
          <w:rFonts w:cs="Times New Roman"/>
          <w:color w:val="222222"/>
          <w:sz w:val="15"/>
          <w:szCs w:val="15"/>
          <w:shd w:val="clear" w:color="auto" w:fill="FFFFFF"/>
        </w:rPr>
        <w:t xml:space="preserve">, </w:t>
      </w:r>
      <w:r>
        <w:rPr>
          <w:rFonts w:cs="Times New Roman"/>
          <w:i/>
          <w:iCs/>
          <w:color w:val="222222"/>
          <w:sz w:val="15"/>
          <w:szCs w:val="15"/>
          <w:shd w:val="clear" w:color="auto" w:fill="FFFFFF"/>
        </w:rPr>
        <w:t>97</w:t>
      </w:r>
      <w:r>
        <w:rPr>
          <w:rFonts w:cs="Times New Roman"/>
          <w:color w:val="222222"/>
          <w:sz w:val="15"/>
          <w:szCs w:val="15"/>
          <w:shd w:val="clear" w:color="auto" w:fill="FFFFFF"/>
        </w:rPr>
        <w:t>, 274-285.</w:t>
      </w:r>
    </w:p>
    <w:p>
      <w:pPr>
        <w:keepNext w:val="0"/>
        <w:keepLines w:val="0"/>
        <w:pageBreakBefore w:val="0"/>
        <w:kinsoku/>
        <w:wordWrap/>
        <w:overflowPunct/>
        <w:topLinePunct w:val="0"/>
        <w:autoSpaceDE/>
        <w:autoSpaceDN/>
        <w:bidi w:val="0"/>
        <w:adjustRightInd/>
        <w:snapToGrid/>
        <w:spacing w:line="176" w:lineRule="exact"/>
        <w:ind w:left="300" w:leftChars="0" w:right="0" w:rightChars="0" w:hanging="300" w:hangingChars="200"/>
        <w:jc w:val="both"/>
        <w:textAlignment w:val="auto"/>
        <w:rPr>
          <w:rFonts w:cs="Times New Roman"/>
          <w:sz w:val="15"/>
          <w:szCs w:val="15"/>
        </w:rPr>
      </w:pPr>
      <w:r>
        <w:rPr>
          <w:rFonts w:cs="Times New Roman"/>
          <w:color w:val="222222"/>
          <w:sz w:val="15"/>
          <w:szCs w:val="15"/>
          <w:shd w:val="clear" w:color="auto" w:fill="FFFFFF"/>
          <w:lang w:val="it-IT"/>
        </w:rPr>
        <w:t xml:space="preserve">Gebauer, H., Paiola, M., Saccani, N., &amp; Rapaccini, M. (2021). </w:t>
      </w:r>
      <w:r>
        <w:rPr>
          <w:rFonts w:cs="Times New Roman"/>
          <w:color w:val="222222"/>
          <w:sz w:val="15"/>
          <w:szCs w:val="15"/>
          <w:shd w:val="clear" w:color="auto" w:fill="FFFFFF"/>
        </w:rPr>
        <w:t xml:space="preserve">Digital servitization: Crossing the perspectives of digitization and servitization. </w:t>
      </w:r>
      <w:r>
        <w:rPr>
          <w:rFonts w:cs="Times New Roman"/>
          <w:i/>
          <w:iCs/>
          <w:sz w:val="15"/>
          <w:szCs w:val="15"/>
        </w:rPr>
        <w:t>Industrial Marketing Management</w:t>
      </w:r>
      <w:r>
        <w:rPr>
          <w:rFonts w:cs="Times New Roman"/>
          <w:sz w:val="15"/>
          <w:szCs w:val="15"/>
        </w:rPr>
        <w:t xml:space="preserve">, </w:t>
      </w:r>
      <w:r>
        <w:rPr>
          <w:rFonts w:cs="Times New Roman"/>
          <w:i/>
          <w:iCs/>
          <w:sz w:val="15"/>
          <w:szCs w:val="15"/>
        </w:rPr>
        <w:t>93</w:t>
      </w:r>
      <w:r>
        <w:rPr>
          <w:rFonts w:cs="Times New Roman"/>
          <w:sz w:val="15"/>
          <w:szCs w:val="15"/>
        </w:rPr>
        <w:t>, 382-388.</w:t>
      </w:r>
    </w:p>
    <w:p>
      <w:pPr>
        <w:keepNext w:val="0"/>
        <w:keepLines w:val="0"/>
        <w:pageBreakBefore w:val="0"/>
        <w:widowControl/>
        <w:kinsoku/>
        <w:wordWrap/>
        <w:overflowPunct/>
        <w:topLinePunct w:val="0"/>
        <w:autoSpaceDE/>
        <w:autoSpaceDN/>
        <w:bidi w:val="0"/>
        <w:adjustRightInd/>
        <w:snapToGrid/>
        <w:spacing w:line="176" w:lineRule="exact"/>
        <w:ind w:left="300" w:leftChars="0" w:right="0" w:rightChars="0" w:hanging="300" w:hangingChars="200"/>
        <w:jc w:val="both"/>
        <w:textAlignment w:val="auto"/>
        <w:rPr>
          <w:rFonts w:cs="Times New Roman"/>
          <w:sz w:val="15"/>
          <w:szCs w:val="15"/>
        </w:rPr>
      </w:pPr>
      <w:r>
        <w:rPr>
          <w:rFonts w:cs="Times New Roman"/>
          <w:color w:val="222222"/>
          <w:kern w:val="0"/>
          <w:sz w:val="15"/>
          <w:szCs w:val="15"/>
          <w:shd w:val="clear" w:color="auto" w:fill="FFFFFF"/>
        </w:rPr>
        <w:t xml:space="preserve">Gioia, D. A., Corley, K. G., &amp; Hamilton, A. L. (2013). Seeking qualitative rigor in inductive research: Notes on the Gioia methodology. </w:t>
      </w:r>
      <w:r>
        <w:rPr>
          <w:rFonts w:cs="Times New Roman"/>
          <w:i/>
          <w:iCs/>
          <w:color w:val="222222"/>
          <w:kern w:val="0"/>
          <w:sz w:val="15"/>
          <w:szCs w:val="15"/>
          <w:shd w:val="clear" w:color="auto" w:fill="FFFFFF"/>
        </w:rPr>
        <w:t>Organizational research methods</w:t>
      </w:r>
      <w:r>
        <w:rPr>
          <w:rFonts w:cs="Times New Roman"/>
          <w:color w:val="222222"/>
          <w:kern w:val="0"/>
          <w:sz w:val="15"/>
          <w:szCs w:val="15"/>
          <w:shd w:val="clear" w:color="auto" w:fill="FFFFFF"/>
        </w:rPr>
        <w:t xml:space="preserve">, </w:t>
      </w:r>
      <w:r>
        <w:rPr>
          <w:rFonts w:cs="Times New Roman"/>
          <w:i/>
          <w:iCs/>
          <w:color w:val="222222"/>
          <w:kern w:val="0"/>
          <w:sz w:val="15"/>
          <w:szCs w:val="15"/>
          <w:shd w:val="clear" w:color="auto" w:fill="FFFFFF"/>
        </w:rPr>
        <w:t>16</w:t>
      </w:r>
      <w:r>
        <w:rPr>
          <w:rFonts w:cs="Times New Roman"/>
          <w:color w:val="222222"/>
          <w:kern w:val="0"/>
          <w:sz w:val="15"/>
          <w:szCs w:val="15"/>
          <w:shd w:val="clear" w:color="auto" w:fill="FFFFFF"/>
        </w:rPr>
        <w:t>(1), 15-31.</w:t>
      </w:r>
    </w:p>
    <w:p>
      <w:pPr>
        <w:keepNext w:val="0"/>
        <w:keepLines w:val="0"/>
        <w:pageBreakBefore w:val="0"/>
        <w:kinsoku/>
        <w:wordWrap/>
        <w:overflowPunct/>
        <w:topLinePunct w:val="0"/>
        <w:autoSpaceDE/>
        <w:autoSpaceDN/>
        <w:bidi w:val="0"/>
        <w:adjustRightInd/>
        <w:snapToGrid/>
        <w:spacing w:line="176" w:lineRule="exact"/>
        <w:ind w:left="300" w:leftChars="0" w:right="0" w:rightChars="0" w:hanging="300" w:hangingChars="200"/>
        <w:jc w:val="both"/>
        <w:textAlignment w:val="auto"/>
        <w:rPr>
          <w:rFonts w:cs="Times New Roman"/>
          <w:color w:val="222222"/>
          <w:sz w:val="15"/>
          <w:szCs w:val="15"/>
          <w:shd w:val="clear" w:color="auto" w:fill="FFFFFF"/>
        </w:rPr>
      </w:pPr>
      <w:r>
        <w:rPr>
          <w:rFonts w:cs="Times New Roman"/>
          <w:color w:val="222222"/>
          <w:sz w:val="15"/>
          <w:szCs w:val="15"/>
          <w:shd w:val="clear" w:color="auto" w:fill="FFFFFF"/>
        </w:rPr>
        <w:t xml:space="preserve">Guenther, M., &amp; Guenther, P. (2019). The value of branding for B2B service firms—The shareholders' perspective. </w:t>
      </w:r>
      <w:r>
        <w:rPr>
          <w:rFonts w:cs="Times New Roman"/>
          <w:i/>
          <w:iCs/>
          <w:color w:val="222222"/>
          <w:sz w:val="15"/>
          <w:szCs w:val="15"/>
          <w:shd w:val="clear" w:color="auto" w:fill="FFFFFF"/>
        </w:rPr>
        <w:t>Industrial Marketing Management</w:t>
      </w:r>
      <w:r>
        <w:rPr>
          <w:rFonts w:cs="Times New Roman"/>
          <w:color w:val="222222"/>
          <w:sz w:val="15"/>
          <w:szCs w:val="15"/>
          <w:shd w:val="clear" w:color="auto" w:fill="FFFFFF"/>
        </w:rPr>
        <w:t xml:space="preserve">, </w:t>
      </w:r>
      <w:r>
        <w:rPr>
          <w:rFonts w:cs="Times New Roman"/>
          <w:i/>
          <w:iCs/>
          <w:color w:val="222222"/>
          <w:sz w:val="15"/>
          <w:szCs w:val="15"/>
          <w:shd w:val="clear" w:color="auto" w:fill="FFFFFF"/>
        </w:rPr>
        <w:t>78</w:t>
      </w:r>
      <w:r>
        <w:rPr>
          <w:rFonts w:cs="Times New Roman"/>
          <w:color w:val="222222"/>
          <w:sz w:val="15"/>
          <w:szCs w:val="15"/>
          <w:shd w:val="clear" w:color="auto" w:fill="FFFFFF"/>
        </w:rPr>
        <w:t>, 88-101.</w:t>
      </w:r>
    </w:p>
    <w:p>
      <w:pPr>
        <w:keepNext w:val="0"/>
        <w:keepLines w:val="0"/>
        <w:pageBreakBefore w:val="0"/>
        <w:widowControl/>
        <w:kinsoku/>
        <w:wordWrap/>
        <w:overflowPunct/>
        <w:topLinePunct w:val="0"/>
        <w:autoSpaceDE/>
        <w:autoSpaceDN/>
        <w:bidi w:val="0"/>
        <w:adjustRightInd/>
        <w:snapToGrid/>
        <w:spacing w:line="176" w:lineRule="exact"/>
        <w:ind w:left="300" w:leftChars="0" w:right="0" w:rightChars="0" w:hanging="300" w:hangingChars="200"/>
        <w:jc w:val="both"/>
        <w:textAlignment w:val="auto"/>
        <w:rPr>
          <w:rFonts w:cs="Times New Roman"/>
          <w:i/>
          <w:iCs/>
          <w:color w:val="222222"/>
          <w:kern w:val="0"/>
          <w:sz w:val="15"/>
          <w:szCs w:val="15"/>
          <w:shd w:val="clear" w:color="auto" w:fill="FFFFFF"/>
        </w:rPr>
      </w:pPr>
      <w:r>
        <w:rPr>
          <w:rFonts w:cs="Times New Roman"/>
          <w:color w:val="222222"/>
          <w:kern w:val="0"/>
          <w:sz w:val="15"/>
          <w:szCs w:val="15"/>
          <w:shd w:val="clear" w:color="auto" w:fill="FFFFFF"/>
        </w:rPr>
        <w:t xml:space="preserve">Hamill, J. (1997). The Internet and international marketing. </w:t>
      </w:r>
      <w:r>
        <w:rPr>
          <w:rFonts w:cs="Times New Roman"/>
          <w:i/>
          <w:iCs/>
          <w:color w:val="222222"/>
          <w:kern w:val="0"/>
          <w:sz w:val="15"/>
          <w:szCs w:val="15"/>
          <w:shd w:val="clear" w:color="auto" w:fill="FFFFFF"/>
        </w:rPr>
        <w:t>International marketing review.</w:t>
      </w:r>
    </w:p>
    <w:p>
      <w:pPr>
        <w:keepNext w:val="0"/>
        <w:keepLines w:val="0"/>
        <w:pageBreakBefore w:val="0"/>
        <w:widowControl/>
        <w:kinsoku/>
        <w:wordWrap/>
        <w:overflowPunct/>
        <w:topLinePunct w:val="0"/>
        <w:autoSpaceDE/>
        <w:autoSpaceDN/>
        <w:bidi w:val="0"/>
        <w:adjustRightInd/>
        <w:snapToGrid/>
        <w:spacing w:line="176" w:lineRule="exact"/>
        <w:ind w:left="300" w:leftChars="0" w:right="0" w:rightChars="0" w:hanging="300" w:hangingChars="200"/>
        <w:jc w:val="both"/>
        <w:textAlignment w:val="auto"/>
        <w:rPr>
          <w:rFonts w:cs="Times New Roman"/>
          <w:sz w:val="15"/>
          <w:szCs w:val="15"/>
        </w:rPr>
      </w:pPr>
      <w:r>
        <w:rPr>
          <w:rFonts w:cs="Times New Roman"/>
          <w:color w:val="222222"/>
          <w:kern w:val="0"/>
          <w:sz w:val="15"/>
          <w:szCs w:val="15"/>
          <w:shd w:val="clear" w:color="auto" w:fill="FFFFFF"/>
        </w:rPr>
        <w:t xml:space="preserve">Hanson, D., &amp; Grimmer, M. (2007). The mix of qualitative and quantitative research in major marketing journals, 1993‐2002. </w:t>
      </w:r>
      <w:r>
        <w:rPr>
          <w:rFonts w:cs="Times New Roman"/>
          <w:i/>
          <w:iCs/>
          <w:color w:val="222222"/>
          <w:kern w:val="0"/>
          <w:sz w:val="15"/>
          <w:szCs w:val="15"/>
          <w:shd w:val="clear" w:color="auto" w:fill="FFFFFF"/>
        </w:rPr>
        <w:t>European journal of marketing</w:t>
      </w:r>
      <w:r>
        <w:rPr>
          <w:rFonts w:cs="Times New Roman"/>
          <w:color w:val="222222"/>
          <w:kern w:val="0"/>
          <w:sz w:val="15"/>
          <w:szCs w:val="15"/>
          <w:shd w:val="clear" w:color="auto" w:fill="FFFFFF"/>
        </w:rPr>
        <w:t>.</w:t>
      </w:r>
    </w:p>
    <w:p>
      <w:pPr>
        <w:keepNext w:val="0"/>
        <w:keepLines w:val="0"/>
        <w:pageBreakBefore w:val="0"/>
        <w:widowControl/>
        <w:kinsoku/>
        <w:wordWrap/>
        <w:overflowPunct/>
        <w:topLinePunct w:val="0"/>
        <w:autoSpaceDE/>
        <w:autoSpaceDN/>
        <w:bidi w:val="0"/>
        <w:adjustRightInd/>
        <w:snapToGrid/>
        <w:spacing w:line="176" w:lineRule="exact"/>
        <w:ind w:left="300" w:leftChars="0" w:right="0" w:rightChars="0" w:hanging="300" w:hangingChars="200"/>
        <w:jc w:val="both"/>
        <w:textAlignment w:val="auto"/>
        <w:rPr>
          <w:rFonts w:cs="Times New Roman"/>
          <w:i/>
          <w:iCs/>
          <w:color w:val="222222"/>
          <w:kern w:val="0"/>
          <w:sz w:val="15"/>
          <w:szCs w:val="15"/>
          <w:shd w:val="clear" w:color="auto" w:fill="FFFFFF"/>
        </w:rPr>
      </w:pPr>
      <w:r>
        <w:rPr>
          <w:rFonts w:cs="Times New Roman"/>
          <w:color w:val="222222"/>
          <w:kern w:val="0"/>
          <w:sz w:val="15"/>
          <w:szCs w:val="15"/>
          <w:shd w:val="clear" w:color="auto" w:fill="FFFFFF"/>
        </w:rPr>
        <w:t xml:space="preserve">Harzing, A. W., &amp; Pudelko, M. (2016). Do we need to distance ourselves from the distance concept? Why home and host country context might matter more than (cultural) distance. </w:t>
      </w:r>
      <w:r>
        <w:rPr>
          <w:rFonts w:cs="Times New Roman"/>
          <w:i/>
          <w:iCs/>
          <w:color w:val="222222"/>
          <w:kern w:val="0"/>
          <w:sz w:val="15"/>
          <w:szCs w:val="15"/>
          <w:shd w:val="clear" w:color="auto" w:fill="FFFFFF"/>
        </w:rPr>
        <w:t>Management International Review</w:t>
      </w:r>
      <w:r>
        <w:rPr>
          <w:rFonts w:cs="Times New Roman"/>
          <w:color w:val="222222"/>
          <w:kern w:val="0"/>
          <w:sz w:val="15"/>
          <w:szCs w:val="15"/>
          <w:shd w:val="clear" w:color="auto" w:fill="FFFFFF"/>
        </w:rPr>
        <w:t xml:space="preserve">, </w:t>
      </w:r>
      <w:r>
        <w:rPr>
          <w:rFonts w:cs="Times New Roman"/>
          <w:i/>
          <w:iCs/>
          <w:color w:val="222222"/>
          <w:kern w:val="0"/>
          <w:sz w:val="15"/>
          <w:szCs w:val="15"/>
          <w:shd w:val="clear" w:color="auto" w:fill="FFFFFF"/>
        </w:rPr>
        <w:t>56</w:t>
      </w:r>
      <w:r>
        <w:rPr>
          <w:rFonts w:cs="Times New Roman"/>
          <w:color w:val="222222"/>
          <w:kern w:val="0"/>
          <w:sz w:val="15"/>
          <w:szCs w:val="15"/>
          <w:shd w:val="clear" w:color="auto" w:fill="FFFFFF"/>
        </w:rPr>
        <w:t>(1), 1-34.</w:t>
      </w:r>
    </w:p>
    <w:p>
      <w:pPr>
        <w:keepNext w:val="0"/>
        <w:keepLines w:val="0"/>
        <w:pageBreakBefore w:val="0"/>
        <w:kinsoku/>
        <w:wordWrap/>
        <w:overflowPunct/>
        <w:topLinePunct w:val="0"/>
        <w:autoSpaceDE/>
        <w:autoSpaceDN/>
        <w:bidi w:val="0"/>
        <w:adjustRightInd/>
        <w:snapToGrid/>
        <w:spacing w:line="176" w:lineRule="exact"/>
        <w:ind w:left="300" w:leftChars="0" w:right="0" w:rightChars="0" w:hanging="300" w:hangingChars="200"/>
        <w:jc w:val="both"/>
        <w:textAlignment w:val="auto"/>
        <w:rPr>
          <w:rFonts w:cs="Times New Roman"/>
          <w:color w:val="222222"/>
          <w:sz w:val="15"/>
          <w:szCs w:val="15"/>
          <w:shd w:val="clear" w:color="auto" w:fill="FFFFFF"/>
        </w:rPr>
      </w:pPr>
      <w:r>
        <w:rPr>
          <w:rFonts w:cs="Times New Roman"/>
          <w:color w:val="222222"/>
          <w:sz w:val="15"/>
          <w:szCs w:val="15"/>
          <w:shd w:val="clear" w:color="auto" w:fill="FFFFFF"/>
        </w:rPr>
        <w:t xml:space="preserve">Javalgi, R. R. G., Griffith, D. A., &amp; White, D. S. (2003). An empirical examination of factors influencing the internationalization of service firms. </w:t>
      </w:r>
      <w:r>
        <w:rPr>
          <w:rFonts w:cs="Times New Roman"/>
          <w:i/>
          <w:iCs/>
          <w:color w:val="222222"/>
          <w:sz w:val="15"/>
          <w:szCs w:val="15"/>
          <w:shd w:val="clear" w:color="auto" w:fill="FFFFFF"/>
        </w:rPr>
        <w:t>Journal of services marketing</w:t>
      </w:r>
      <w:r>
        <w:rPr>
          <w:rFonts w:cs="Times New Roman"/>
          <w:color w:val="222222"/>
          <w:sz w:val="15"/>
          <w:szCs w:val="15"/>
          <w:shd w:val="clear" w:color="auto" w:fill="FFFFFF"/>
        </w:rPr>
        <w:t>.</w:t>
      </w:r>
    </w:p>
    <w:p>
      <w:pPr>
        <w:keepNext w:val="0"/>
        <w:keepLines w:val="0"/>
        <w:pageBreakBefore w:val="0"/>
        <w:widowControl/>
        <w:kinsoku/>
        <w:wordWrap/>
        <w:overflowPunct/>
        <w:topLinePunct w:val="0"/>
        <w:autoSpaceDE/>
        <w:autoSpaceDN/>
        <w:bidi w:val="0"/>
        <w:adjustRightInd/>
        <w:snapToGrid/>
        <w:spacing w:line="176" w:lineRule="exact"/>
        <w:ind w:left="300" w:leftChars="0" w:right="0" w:rightChars="0" w:hanging="300" w:hangingChars="200"/>
        <w:jc w:val="both"/>
        <w:textAlignment w:val="auto"/>
        <w:rPr>
          <w:rFonts w:cs="Times New Roman"/>
          <w:color w:val="222222"/>
          <w:sz w:val="15"/>
          <w:szCs w:val="15"/>
          <w:shd w:val="clear" w:color="auto" w:fill="FFFFFF"/>
        </w:rPr>
      </w:pPr>
      <w:r>
        <w:rPr>
          <w:rFonts w:cs="Times New Roman"/>
          <w:color w:val="222222"/>
          <w:kern w:val="0"/>
          <w:sz w:val="15"/>
          <w:szCs w:val="15"/>
          <w:shd w:val="clear" w:color="auto" w:fill="FFFFFF"/>
        </w:rPr>
        <w:t xml:space="preserve">Jovanovic, J., &amp; Morschett, D. (2022). Under which conditions do manufacturing companies choose FDI for service provision in foreign markets? An investigation using fsQCA. </w:t>
      </w:r>
      <w:r>
        <w:rPr>
          <w:rFonts w:cs="Times New Roman"/>
          <w:i/>
          <w:iCs/>
          <w:color w:val="222222"/>
          <w:kern w:val="0"/>
          <w:sz w:val="15"/>
          <w:szCs w:val="15"/>
          <w:shd w:val="clear" w:color="auto" w:fill="FFFFFF"/>
        </w:rPr>
        <w:t>Industrial Marketing Management</w:t>
      </w:r>
      <w:r>
        <w:rPr>
          <w:rFonts w:cs="Times New Roman"/>
          <w:color w:val="222222"/>
          <w:kern w:val="0"/>
          <w:sz w:val="15"/>
          <w:szCs w:val="15"/>
          <w:shd w:val="clear" w:color="auto" w:fill="FFFFFF"/>
        </w:rPr>
        <w:t xml:space="preserve">, </w:t>
      </w:r>
      <w:r>
        <w:rPr>
          <w:rFonts w:cs="Times New Roman"/>
          <w:i/>
          <w:iCs/>
          <w:color w:val="222222"/>
          <w:kern w:val="0"/>
          <w:sz w:val="15"/>
          <w:szCs w:val="15"/>
          <w:shd w:val="clear" w:color="auto" w:fill="FFFFFF"/>
        </w:rPr>
        <w:t>104</w:t>
      </w:r>
      <w:r>
        <w:rPr>
          <w:rFonts w:cs="Times New Roman"/>
          <w:color w:val="222222"/>
          <w:kern w:val="0"/>
          <w:sz w:val="15"/>
          <w:szCs w:val="15"/>
          <w:shd w:val="clear" w:color="auto" w:fill="FFFFFF"/>
        </w:rPr>
        <w:t>, 38-50.</w:t>
      </w:r>
    </w:p>
    <w:p>
      <w:pPr>
        <w:keepNext w:val="0"/>
        <w:keepLines w:val="0"/>
        <w:pageBreakBefore w:val="0"/>
        <w:kinsoku/>
        <w:wordWrap/>
        <w:overflowPunct/>
        <w:topLinePunct w:val="0"/>
        <w:autoSpaceDE/>
        <w:autoSpaceDN/>
        <w:bidi w:val="0"/>
        <w:adjustRightInd/>
        <w:snapToGrid/>
        <w:spacing w:line="176" w:lineRule="exact"/>
        <w:ind w:left="300" w:leftChars="0" w:right="0" w:rightChars="0" w:hanging="300" w:hangingChars="200"/>
        <w:jc w:val="both"/>
        <w:textAlignment w:val="auto"/>
        <w:rPr>
          <w:rFonts w:cs="Times New Roman"/>
          <w:sz w:val="15"/>
          <w:szCs w:val="15"/>
        </w:rPr>
      </w:pPr>
      <w:r>
        <w:rPr>
          <w:rFonts w:cs="Times New Roman"/>
          <w:color w:val="222222"/>
          <w:sz w:val="15"/>
          <w:szCs w:val="15"/>
          <w:shd w:val="clear" w:color="auto" w:fill="FFFFFF"/>
        </w:rPr>
        <w:t xml:space="preserve">Kindström, D. (2010). Towards a service-based business model–Key aspects for future competitive advantage. </w:t>
      </w:r>
      <w:r>
        <w:rPr>
          <w:rFonts w:cs="Times New Roman"/>
          <w:i/>
          <w:iCs/>
          <w:sz w:val="15"/>
          <w:szCs w:val="15"/>
        </w:rPr>
        <w:t>European management journal</w:t>
      </w:r>
      <w:r>
        <w:rPr>
          <w:rFonts w:cs="Times New Roman"/>
          <w:sz w:val="15"/>
          <w:szCs w:val="15"/>
        </w:rPr>
        <w:t xml:space="preserve">, </w:t>
      </w:r>
      <w:r>
        <w:rPr>
          <w:rFonts w:cs="Times New Roman"/>
          <w:i/>
          <w:iCs/>
          <w:sz w:val="15"/>
          <w:szCs w:val="15"/>
        </w:rPr>
        <w:t>28</w:t>
      </w:r>
      <w:r>
        <w:rPr>
          <w:rFonts w:cs="Times New Roman"/>
          <w:sz w:val="15"/>
          <w:szCs w:val="15"/>
        </w:rPr>
        <w:t>(6), 479-490.</w:t>
      </w:r>
    </w:p>
    <w:p>
      <w:pPr>
        <w:keepNext w:val="0"/>
        <w:keepLines w:val="0"/>
        <w:pageBreakBefore w:val="0"/>
        <w:kinsoku/>
        <w:wordWrap/>
        <w:overflowPunct/>
        <w:topLinePunct w:val="0"/>
        <w:autoSpaceDE/>
        <w:autoSpaceDN/>
        <w:bidi w:val="0"/>
        <w:adjustRightInd/>
        <w:snapToGrid/>
        <w:spacing w:line="176" w:lineRule="exact"/>
        <w:ind w:left="300" w:leftChars="0" w:right="0" w:rightChars="0" w:hanging="300" w:hangingChars="200"/>
        <w:jc w:val="both"/>
        <w:textAlignment w:val="auto"/>
        <w:rPr>
          <w:rFonts w:cs="Times New Roman"/>
          <w:color w:val="222222"/>
          <w:sz w:val="15"/>
          <w:szCs w:val="15"/>
          <w:shd w:val="clear" w:color="auto" w:fill="FFFFFF"/>
        </w:rPr>
      </w:pPr>
      <w:r>
        <w:rPr>
          <w:rFonts w:cs="Times New Roman"/>
          <w:color w:val="222222"/>
          <w:sz w:val="15"/>
          <w:szCs w:val="15"/>
          <w:shd w:val="clear" w:color="auto" w:fill="FFFFFF"/>
        </w:rPr>
        <w:t xml:space="preserve">Laanti, R., McDougall, F., &amp; Baume, G. (2009). How well do traditional theories explain the internationalisation of service MNEs from small and open economies?–Case: National telecommunication companies. </w:t>
      </w:r>
      <w:r>
        <w:rPr>
          <w:rFonts w:cs="Times New Roman"/>
          <w:i/>
          <w:iCs/>
          <w:color w:val="222222"/>
          <w:sz w:val="15"/>
          <w:szCs w:val="15"/>
          <w:shd w:val="clear" w:color="auto" w:fill="FFFFFF"/>
        </w:rPr>
        <w:t>Management international review</w:t>
      </w:r>
      <w:r>
        <w:rPr>
          <w:rFonts w:cs="Times New Roman"/>
          <w:color w:val="222222"/>
          <w:sz w:val="15"/>
          <w:szCs w:val="15"/>
          <w:shd w:val="clear" w:color="auto" w:fill="FFFFFF"/>
        </w:rPr>
        <w:t xml:space="preserve">, </w:t>
      </w:r>
      <w:r>
        <w:rPr>
          <w:rFonts w:cs="Times New Roman"/>
          <w:i/>
          <w:iCs/>
          <w:color w:val="222222"/>
          <w:sz w:val="15"/>
          <w:szCs w:val="15"/>
          <w:shd w:val="clear" w:color="auto" w:fill="FFFFFF"/>
        </w:rPr>
        <w:t>49</w:t>
      </w:r>
      <w:r>
        <w:rPr>
          <w:rFonts w:cs="Times New Roman"/>
          <w:color w:val="222222"/>
          <w:sz w:val="15"/>
          <w:szCs w:val="15"/>
          <w:shd w:val="clear" w:color="auto" w:fill="FFFFFF"/>
        </w:rPr>
        <w:t>(1), 121-144.</w:t>
      </w:r>
    </w:p>
    <w:p>
      <w:pPr>
        <w:keepNext w:val="0"/>
        <w:keepLines w:val="0"/>
        <w:pageBreakBefore w:val="0"/>
        <w:kinsoku/>
        <w:wordWrap/>
        <w:overflowPunct/>
        <w:topLinePunct w:val="0"/>
        <w:autoSpaceDE/>
        <w:autoSpaceDN/>
        <w:bidi w:val="0"/>
        <w:adjustRightInd/>
        <w:snapToGrid/>
        <w:spacing w:line="176" w:lineRule="exact"/>
        <w:ind w:left="300" w:leftChars="0" w:right="0" w:rightChars="0" w:hanging="300" w:hangingChars="200"/>
        <w:jc w:val="both"/>
        <w:textAlignment w:val="auto"/>
        <w:rPr>
          <w:rFonts w:cs="Times New Roman"/>
          <w:color w:val="222222"/>
          <w:sz w:val="15"/>
          <w:szCs w:val="15"/>
          <w:shd w:val="clear" w:color="auto" w:fill="FFFFFF"/>
        </w:rPr>
      </w:pPr>
      <w:r>
        <w:rPr>
          <w:rFonts w:cs="Times New Roman"/>
          <w:color w:val="222222"/>
          <w:sz w:val="15"/>
          <w:szCs w:val="15"/>
          <w:shd w:val="clear" w:color="auto" w:fill="FFFFFF"/>
        </w:rPr>
        <w:t xml:space="preserve">Morgan, G. (Ed.). (1983). </w:t>
      </w:r>
      <w:r>
        <w:rPr>
          <w:rFonts w:cs="Times New Roman"/>
          <w:i/>
          <w:iCs/>
          <w:sz w:val="15"/>
          <w:szCs w:val="15"/>
        </w:rPr>
        <w:t>Beyond method: Strategies for social research</w:t>
      </w:r>
      <w:r>
        <w:rPr>
          <w:rFonts w:cs="Times New Roman"/>
          <w:sz w:val="15"/>
          <w:szCs w:val="15"/>
        </w:rPr>
        <w:t>. Sage.</w:t>
      </w:r>
    </w:p>
    <w:p>
      <w:pPr>
        <w:keepNext w:val="0"/>
        <w:keepLines w:val="0"/>
        <w:pageBreakBefore w:val="0"/>
        <w:kinsoku/>
        <w:wordWrap/>
        <w:overflowPunct/>
        <w:topLinePunct w:val="0"/>
        <w:autoSpaceDE/>
        <w:autoSpaceDN/>
        <w:bidi w:val="0"/>
        <w:adjustRightInd/>
        <w:snapToGrid/>
        <w:spacing w:line="176" w:lineRule="exact"/>
        <w:ind w:left="300" w:leftChars="0" w:right="0" w:rightChars="0" w:hanging="300" w:hangingChars="200"/>
        <w:jc w:val="both"/>
        <w:textAlignment w:val="auto"/>
        <w:rPr>
          <w:rFonts w:cs="Times New Roman"/>
          <w:color w:val="222222"/>
          <w:sz w:val="15"/>
          <w:szCs w:val="15"/>
          <w:shd w:val="clear" w:color="auto" w:fill="FFFFFF"/>
        </w:rPr>
      </w:pPr>
      <w:r>
        <w:rPr>
          <w:rFonts w:cs="Times New Roman"/>
          <w:color w:val="222222"/>
          <w:sz w:val="15"/>
          <w:szCs w:val="15"/>
          <w:shd w:val="clear" w:color="auto" w:fill="FFFFFF"/>
        </w:rPr>
        <w:t xml:space="preserve">Neu, W. A., &amp; Brown, S. W. (2005). Forming successful business-to-business services in goods-dominant firms. </w:t>
      </w:r>
      <w:r>
        <w:rPr>
          <w:rFonts w:cs="Times New Roman"/>
          <w:i/>
          <w:iCs/>
          <w:color w:val="222222"/>
          <w:sz w:val="15"/>
          <w:szCs w:val="15"/>
          <w:shd w:val="clear" w:color="auto" w:fill="FFFFFF"/>
        </w:rPr>
        <w:t>Journal of service research</w:t>
      </w:r>
      <w:r>
        <w:rPr>
          <w:rFonts w:cs="Times New Roman"/>
          <w:color w:val="222222"/>
          <w:sz w:val="15"/>
          <w:szCs w:val="15"/>
          <w:shd w:val="clear" w:color="auto" w:fill="FFFFFF"/>
        </w:rPr>
        <w:t xml:space="preserve">, </w:t>
      </w:r>
      <w:r>
        <w:rPr>
          <w:rFonts w:cs="Times New Roman"/>
          <w:i/>
          <w:iCs/>
          <w:color w:val="222222"/>
          <w:sz w:val="15"/>
          <w:szCs w:val="15"/>
          <w:shd w:val="clear" w:color="auto" w:fill="FFFFFF"/>
        </w:rPr>
        <w:t>8</w:t>
      </w:r>
      <w:r>
        <w:rPr>
          <w:rFonts w:cs="Times New Roman"/>
          <w:color w:val="222222"/>
          <w:sz w:val="15"/>
          <w:szCs w:val="15"/>
          <w:shd w:val="clear" w:color="auto" w:fill="FFFFFF"/>
        </w:rPr>
        <w:t>(1), 3-17.</w:t>
      </w:r>
    </w:p>
    <w:p>
      <w:pPr>
        <w:keepNext w:val="0"/>
        <w:keepLines w:val="0"/>
        <w:pageBreakBefore w:val="0"/>
        <w:kinsoku/>
        <w:wordWrap/>
        <w:overflowPunct/>
        <w:topLinePunct w:val="0"/>
        <w:autoSpaceDE/>
        <w:autoSpaceDN/>
        <w:bidi w:val="0"/>
        <w:adjustRightInd/>
        <w:snapToGrid/>
        <w:spacing w:line="176" w:lineRule="exact"/>
        <w:ind w:left="300" w:leftChars="0" w:right="0" w:rightChars="0" w:hanging="300" w:hangingChars="200"/>
        <w:jc w:val="both"/>
        <w:textAlignment w:val="auto"/>
        <w:rPr>
          <w:rFonts w:cs="Times New Roman"/>
          <w:color w:val="222222"/>
          <w:sz w:val="15"/>
          <w:szCs w:val="15"/>
          <w:shd w:val="clear" w:color="auto" w:fill="FFFFFF"/>
        </w:rPr>
      </w:pPr>
      <w:r>
        <w:rPr>
          <w:rFonts w:cs="Times New Roman"/>
          <w:color w:val="222222"/>
          <w:sz w:val="15"/>
          <w:szCs w:val="15"/>
          <w:shd w:val="clear" w:color="auto" w:fill="FFFFFF"/>
        </w:rPr>
        <w:t xml:space="preserve">O'Cass, A., &amp; Sok, P. (2013). Exploring innovation driven value creation in B2B service firms: The roles of the manager, employees, and customers in value creation. </w:t>
      </w:r>
      <w:r>
        <w:rPr>
          <w:rFonts w:cs="Times New Roman"/>
          <w:i/>
          <w:iCs/>
          <w:color w:val="222222"/>
          <w:sz w:val="15"/>
          <w:szCs w:val="15"/>
          <w:shd w:val="clear" w:color="auto" w:fill="FFFFFF"/>
        </w:rPr>
        <w:t>Journal of Business Research</w:t>
      </w:r>
      <w:r>
        <w:rPr>
          <w:rFonts w:cs="Times New Roman"/>
          <w:color w:val="222222"/>
          <w:sz w:val="15"/>
          <w:szCs w:val="15"/>
          <w:shd w:val="clear" w:color="auto" w:fill="FFFFFF"/>
        </w:rPr>
        <w:t xml:space="preserve">, </w:t>
      </w:r>
      <w:r>
        <w:rPr>
          <w:rFonts w:cs="Times New Roman"/>
          <w:i/>
          <w:iCs/>
          <w:color w:val="222222"/>
          <w:sz w:val="15"/>
          <w:szCs w:val="15"/>
          <w:shd w:val="clear" w:color="auto" w:fill="FFFFFF"/>
        </w:rPr>
        <w:t>66</w:t>
      </w:r>
      <w:r>
        <w:rPr>
          <w:rFonts w:cs="Times New Roman"/>
          <w:color w:val="222222"/>
          <w:sz w:val="15"/>
          <w:szCs w:val="15"/>
          <w:shd w:val="clear" w:color="auto" w:fill="FFFFFF"/>
        </w:rPr>
        <w:t>(8), 1074-1084.</w:t>
      </w:r>
    </w:p>
    <w:p>
      <w:pPr>
        <w:keepNext w:val="0"/>
        <w:keepLines w:val="0"/>
        <w:pageBreakBefore w:val="0"/>
        <w:widowControl/>
        <w:kinsoku/>
        <w:wordWrap/>
        <w:overflowPunct/>
        <w:topLinePunct w:val="0"/>
        <w:autoSpaceDE/>
        <w:autoSpaceDN/>
        <w:bidi w:val="0"/>
        <w:adjustRightInd/>
        <w:snapToGrid/>
        <w:spacing w:line="176" w:lineRule="exact"/>
        <w:ind w:left="300" w:leftChars="0" w:right="0" w:rightChars="0" w:hanging="300" w:hangingChars="200"/>
        <w:jc w:val="both"/>
        <w:textAlignment w:val="auto"/>
        <w:rPr>
          <w:rFonts w:cs="Times New Roman"/>
          <w:color w:val="222222"/>
          <w:kern w:val="0"/>
          <w:sz w:val="15"/>
          <w:szCs w:val="15"/>
          <w:shd w:val="clear" w:color="auto" w:fill="FFFFFF"/>
        </w:rPr>
      </w:pPr>
      <w:r>
        <w:rPr>
          <w:rFonts w:cs="Times New Roman"/>
          <w:color w:val="222222"/>
          <w:kern w:val="0"/>
          <w:sz w:val="15"/>
          <w:szCs w:val="15"/>
          <w:shd w:val="clear" w:color="auto" w:fill="FFFFFF"/>
        </w:rPr>
        <w:t xml:space="preserve">Palinkas, L. A., Horwitz, S. M., Green, C. A., Wisdom, J. P., Duan, N., &amp; Hoagwood, K. (2015). Purposeful sampling for qualitative data collection and analysis in mixed method implementation research. </w:t>
      </w:r>
      <w:r>
        <w:rPr>
          <w:rFonts w:cs="Times New Roman"/>
          <w:i/>
          <w:iCs/>
          <w:color w:val="222222"/>
          <w:kern w:val="0"/>
          <w:sz w:val="15"/>
          <w:szCs w:val="15"/>
          <w:shd w:val="clear" w:color="auto" w:fill="FFFFFF"/>
        </w:rPr>
        <w:t>Administration and policy in mental health and mental health services research</w:t>
      </w:r>
      <w:r>
        <w:rPr>
          <w:rFonts w:cs="Times New Roman"/>
          <w:color w:val="222222"/>
          <w:kern w:val="0"/>
          <w:sz w:val="15"/>
          <w:szCs w:val="15"/>
          <w:shd w:val="clear" w:color="auto" w:fill="FFFFFF"/>
        </w:rPr>
        <w:t xml:space="preserve">, </w:t>
      </w:r>
      <w:r>
        <w:rPr>
          <w:rFonts w:cs="Times New Roman"/>
          <w:i/>
          <w:iCs/>
          <w:color w:val="222222"/>
          <w:kern w:val="0"/>
          <w:sz w:val="15"/>
          <w:szCs w:val="15"/>
          <w:shd w:val="clear" w:color="auto" w:fill="FFFFFF"/>
        </w:rPr>
        <w:t>42</w:t>
      </w:r>
      <w:r>
        <w:rPr>
          <w:rFonts w:cs="Times New Roman"/>
          <w:color w:val="222222"/>
          <w:kern w:val="0"/>
          <w:sz w:val="15"/>
          <w:szCs w:val="15"/>
          <w:shd w:val="clear" w:color="auto" w:fill="FFFFFF"/>
        </w:rPr>
        <w:t>(5), 533-544.</w:t>
      </w:r>
    </w:p>
    <w:p>
      <w:pPr>
        <w:keepNext w:val="0"/>
        <w:keepLines w:val="0"/>
        <w:pageBreakBefore w:val="0"/>
        <w:kinsoku/>
        <w:wordWrap/>
        <w:overflowPunct/>
        <w:topLinePunct w:val="0"/>
        <w:autoSpaceDE/>
        <w:autoSpaceDN/>
        <w:bidi w:val="0"/>
        <w:adjustRightInd/>
        <w:snapToGrid/>
        <w:spacing w:line="176" w:lineRule="exact"/>
        <w:ind w:left="300" w:leftChars="0" w:right="0" w:rightChars="0" w:hanging="300" w:hangingChars="200"/>
        <w:jc w:val="both"/>
        <w:textAlignment w:val="auto"/>
        <w:rPr>
          <w:rFonts w:cs="Times New Roman"/>
          <w:sz w:val="15"/>
          <w:szCs w:val="15"/>
        </w:rPr>
      </w:pPr>
      <w:r>
        <w:rPr>
          <w:rFonts w:cs="Times New Roman"/>
          <w:color w:val="222222"/>
          <w:sz w:val="15"/>
          <w:szCs w:val="15"/>
          <w:shd w:val="clear" w:color="auto" w:fill="FFFFFF"/>
        </w:rPr>
        <w:t xml:space="preserve">Palmatier, R. W. (2008). </w:t>
      </w:r>
      <w:r>
        <w:rPr>
          <w:rFonts w:cs="Times New Roman"/>
          <w:i/>
          <w:iCs/>
          <w:sz w:val="15"/>
          <w:szCs w:val="15"/>
        </w:rPr>
        <w:t>Relationship marketing</w:t>
      </w:r>
      <w:r>
        <w:rPr>
          <w:rFonts w:cs="Times New Roman"/>
          <w:sz w:val="15"/>
          <w:szCs w:val="15"/>
        </w:rPr>
        <w:t xml:space="preserve"> (pp. 1-140). Cambridge, MA: Marketing Science Institute.</w:t>
      </w:r>
    </w:p>
    <w:p>
      <w:pPr>
        <w:keepNext w:val="0"/>
        <w:keepLines w:val="0"/>
        <w:pageBreakBefore w:val="0"/>
        <w:kinsoku/>
        <w:wordWrap/>
        <w:overflowPunct/>
        <w:topLinePunct w:val="0"/>
        <w:autoSpaceDE/>
        <w:autoSpaceDN/>
        <w:bidi w:val="0"/>
        <w:adjustRightInd/>
        <w:snapToGrid/>
        <w:spacing w:line="176" w:lineRule="exact"/>
        <w:ind w:left="300" w:leftChars="0" w:right="0" w:rightChars="0" w:hanging="300" w:hangingChars="200"/>
        <w:jc w:val="both"/>
        <w:textAlignment w:val="auto"/>
        <w:rPr>
          <w:rFonts w:cs="Times New Roman"/>
          <w:color w:val="222222"/>
          <w:sz w:val="15"/>
          <w:szCs w:val="15"/>
          <w:shd w:val="clear" w:color="auto" w:fill="FFFFFF"/>
        </w:rPr>
      </w:pPr>
      <w:r>
        <w:rPr>
          <w:rFonts w:cs="Times New Roman"/>
          <w:color w:val="222222"/>
          <w:sz w:val="15"/>
          <w:szCs w:val="15"/>
          <w:shd w:val="clear" w:color="auto" w:fill="FFFFFF"/>
          <w:lang w:val="it-IT"/>
        </w:rPr>
        <w:t xml:space="preserve">Parvinen, P., Aspara, J., Kajalo, S., &amp; Hietanen, J. (2013). </w:t>
      </w:r>
      <w:r>
        <w:rPr>
          <w:rFonts w:cs="Times New Roman"/>
          <w:color w:val="222222"/>
          <w:sz w:val="15"/>
          <w:szCs w:val="15"/>
          <w:shd w:val="clear" w:color="auto" w:fill="FFFFFF"/>
        </w:rPr>
        <w:t xml:space="preserve">Sales activity systematization and performance: Differences between product and service firms. </w:t>
      </w:r>
      <w:r>
        <w:rPr>
          <w:rFonts w:cs="Times New Roman"/>
          <w:i/>
          <w:iCs/>
          <w:color w:val="222222"/>
          <w:sz w:val="15"/>
          <w:szCs w:val="15"/>
          <w:shd w:val="clear" w:color="auto" w:fill="FFFFFF"/>
        </w:rPr>
        <w:t>Journal of Business &amp; Industrial Marketing</w:t>
      </w:r>
      <w:r>
        <w:rPr>
          <w:rFonts w:cs="Times New Roman"/>
          <w:color w:val="222222"/>
          <w:sz w:val="15"/>
          <w:szCs w:val="15"/>
          <w:shd w:val="clear" w:color="auto" w:fill="FFFFFF"/>
        </w:rPr>
        <w:t>.</w:t>
      </w:r>
    </w:p>
    <w:p>
      <w:pPr>
        <w:keepNext w:val="0"/>
        <w:keepLines w:val="0"/>
        <w:pageBreakBefore w:val="0"/>
        <w:kinsoku/>
        <w:wordWrap/>
        <w:overflowPunct/>
        <w:topLinePunct w:val="0"/>
        <w:autoSpaceDE/>
        <w:autoSpaceDN/>
        <w:bidi w:val="0"/>
        <w:adjustRightInd/>
        <w:snapToGrid/>
        <w:spacing w:line="176" w:lineRule="exact"/>
        <w:ind w:left="300" w:leftChars="0" w:right="0" w:rightChars="0" w:hanging="300" w:hangingChars="200"/>
        <w:jc w:val="both"/>
        <w:textAlignment w:val="auto"/>
        <w:rPr>
          <w:rFonts w:cs="Times New Roman"/>
          <w:sz w:val="15"/>
          <w:szCs w:val="15"/>
        </w:rPr>
      </w:pPr>
      <w:r>
        <w:rPr>
          <w:rFonts w:cs="Times New Roman"/>
          <w:color w:val="222222"/>
          <w:sz w:val="15"/>
          <w:szCs w:val="15"/>
          <w:shd w:val="clear" w:color="auto" w:fill="FFFFFF"/>
        </w:rPr>
        <w:t xml:space="preserve">Peppers, D., &amp; Rogers, M. (2016). </w:t>
      </w:r>
      <w:r>
        <w:rPr>
          <w:rFonts w:cs="Times New Roman"/>
          <w:i/>
          <w:iCs/>
          <w:sz w:val="15"/>
          <w:szCs w:val="15"/>
        </w:rPr>
        <w:t>Managing customer experience and relationships: A strategic framework</w:t>
      </w:r>
      <w:r>
        <w:rPr>
          <w:rFonts w:cs="Times New Roman"/>
          <w:sz w:val="15"/>
          <w:szCs w:val="15"/>
        </w:rPr>
        <w:t>. John Wiley &amp; Sons.</w:t>
      </w:r>
    </w:p>
    <w:p>
      <w:pPr>
        <w:keepNext w:val="0"/>
        <w:keepLines w:val="0"/>
        <w:pageBreakBefore w:val="0"/>
        <w:kinsoku/>
        <w:wordWrap/>
        <w:overflowPunct/>
        <w:topLinePunct w:val="0"/>
        <w:autoSpaceDE/>
        <w:autoSpaceDN/>
        <w:bidi w:val="0"/>
        <w:adjustRightInd/>
        <w:snapToGrid/>
        <w:spacing w:line="176" w:lineRule="exact"/>
        <w:ind w:left="300" w:leftChars="0" w:right="0" w:rightChars="0" w:hanging="300" w:hangingChars="200"/>
        <w:jc w:val="both"/>
        <w:textAlignment w:val="auto"/>
        <w:rPr>
          <w:rFonts w:cs="Times New Roman"/>
          <w:sz w:val="15"/>
          <w:szCs w:val="15"/>
        </w:rPr>
      </w:pPr>
      <w:r>
        <w:rPr>
          <w:rFonts w:cs="Times New Roman"/>
          <w:color w:val="222222"/>
          <w:sz w:val="15"/>
          <w:szCs w:val="15"/>
          <w:shd w:val="clear" w:color="auto" w:fill="FFFFFF"/>
        </w:rPr>
        <w:t xml:space="preserve">Rihoux, B., &amp; Ragin, C. C. (2008). </w:t>
      </w:r>
      <w:r>
        <w:rPr>
          <w:rFonts w:cs="Times New Roman"/>
          <w:i/>
          <w:iCs/>
          <w:sz w:val="15"/>
          <w:szCs w:val="15"/>
        </w:rPr>
        <w:t>Configurational comparative methods: Qualitative comparative analysis (QCA) and related techniques</w:t>
      </w:r>
      <w:r>
        <w:rPr>
          <w:rFonts w:cs="Times New Roman"/>
          <w:sz w:val="15"/>
          <w:szCs w:val="15"/>
        </w:rPr>
        <w:t>. Sage Publications.</w:t>
      </w:r>
    </w:p>
    <w:p>
      <w:pPr>
        <w:keepNext w:val="0"/>
        <w:keepLines w:val="0"/>
        <w:pageBreakBefore w:val="0"/>
        <w:widowControl/>
        <w:kinsoku/>
        <w:wordWrap/>
        <w:overflowPunct/>
        <w:topLinePunct w:val="0"/>
        <w:autoSpaceDE/>
        <w:autoSpaceDN/>
        <w:bidi w:val="0"/>
        <w:adjustRightInd/>
        <w:snapToGrid/>
        <w:spacing w:line="176" w:lineRule="exact"/>
        <w:ind w:left="300" w:leftChars="0" w:right="0" w:rightChars="0" w:hanging="300" w:hangingChars="200"/>
        <w:jc w:val="both"/>
        <w:textAlignment w:val="auto"/>
        <w:rPr>
          <w:rFonts w:cs="Times New Roman"/>
          <w:sz w:val="15"/>
          <w:szCs w:val="15"/>
        </w:rPr>
      </w:pPr>
      <w:r>
        <w:rPr>
          <w:rFonts w:cs="Times New Roman"/>
          <w:color w:val="222222"/>
          <w:kern w:val="0"/>
          <w:sz w:val="15"/>
          <w:szCs w:val="15"/>
          <w:shd w:val="clear" w:color="auto" w:fill="FFFFFF"/>
        </w:rPr>
        <w:t xml:space="preserve">Schmidt, C. (2004). The analysis of semi-structured interviews. </w:t>
      </w:r>
      <w:r>
        <w:rPr>
          <w:rFonts w:cs="Times New Roman"/>
          <w:i/>
          <w:iCs/>
          <w:color w:val="222222"/>
          <w:kern w:val="0"/>
          <w:sz w:val="15"/>
          <w:szCs w:val="15"/>
          <w:shd w:val="clear" w:color="auto" w:fill="FFFFFF"/>
        </w:rPr>
        <w:t>A companion to qualitative research</w:t>
      </w:r>
      <w:r>
        <w:rPr>
          <w:rFonts w:cs="Times New Roman"/>
          <w:color w:val="222222"/>
          <w:kern w:val="0"/>
          <w:sz w:val="15"/>
          <w:szCs w:val="15"/>
          <w:shd w:val="clear" w:color="auto" w:fill="FFFFFF"/>
        </w:rPr>
        <w:t xml:space="preserve">, </w:t>
      </w:r>
      <w:r>
        <w:rPr>
          <w:rFonts w:cs="Times New Roman"/>
          <w:i/>
          <w:iCs/>
          <w:color w:val="222222"/>
          <w:kern w:val="0"/>
          <w:sz w:val="15"/>
          <w:szCs w:val="15"/>
          <w:shd w:val="clear" w:color="auto" w:fill="FFFFFF"/>
        </w:rPr>
        <w:t>253</w:t>
      </w:r>
      <w:r>
        <w:rPr>
          <w:rFonts w:cs="Times New Roman"/>
          <w:color w:val="222222"/>
          <w:kern w:val="0"/>
          <w:sz w:val="15"/>
          <w:szCs w:val="15"/>
          <w:shd w:val="clear" w:color="auto" w:fill="FFFFFF"/>
        </w:rPr>
        <w:t>(258), 7619-7374.</w:t>
      </w:r>
    </w:p>
    <w:p>
      <w:pPr>
        <w:keepNext w:val="0"/>
        <w:keepLines w:val="0"/>
        <w:pageBreakBefore w:val="0"/>
        <w:kinsoku/>
        <w:wordWrap/>
        <w:overflowPunct/>
        <w:topLinePunct w:val="0"/>
        <w:autoSpaceDE/>
        <w:autoSpaceDN/>
        <w:bidi w:val="0"/>
        <w:adjustRightInd/>
        <w:snapToGrid/>
        <w:spacing w:line="176" w:lineRule="exact"/>
        <w:ind w:left="300" w:leftChars="0" w:right="0" w:rightChars="0" w:hanging="300" w:hangingChars="200"/>
        <w:jc w:val="both"/>
        <w:textAlignment w:val="auto"/>
        <w:rPr>
          <w:rFonts w:cs="Times New Roman"/>
          <w:color w:val="222222"/>
          <w:sz w:val="15"/>
          <w:szCs w:val="15"/>
          <w:shd w:val="clear" w:color="auto" w:fill="FFFFFF"/>
        </w:rPr>
      </w:pPr>
      <w:r>
        <w:rPr>
          <w:rFonts w:cs="Times New Roman"/>
          <w:color w:val="222222"/>
          <w:sz w:val="15"/>
          <w:szCs w:val="15"/>
          <w:shd w:val="clear" w:color="auto" w:fill="FFFFFF"/>
        </w:rPr>
        <w:t xml:space="preserve">Seo, M. G., &amp; Creed, W. D. (2002). Institutional contradictions, praxis, and institutional change: A dialectical perspective. </w:t>
      </w:r>
      <w:r>
        <w:rPr>
          <w:rFonts w:cs="Times New Roman"/>
          <w:i/>
          <w:iCs/>
          <w:sz w:val="15"/>
          <w:szCs w:val="15"/>
        </w:rPr>
        <w:t>Academy of management review</w:t>
      </w:r>
      <w:r>
        <w:rPr>
          <w:rFonts w:cs="Times New Roman"/>
          <w:sz w:val="15"/>
          <w:szCs w:val="15"/>
        </w:rPr>
        <w:t xml:space="preserve">, </w:t>
      </w:r>
      <w:r>
        <w:rPr>
          <w:rFonts w:cs="Times New Roman"/>
          <w:i/>
          <w:iCs/>
          <w:sz w:val="15"/>
          <w:szCs w:val="15"/>
        </w:rPr>
        <w:t>27</w:t>
      </w:r>
      <w:r>
        <w:rPr>
          <w:rFonts w:cs="Times New Roman"/>
          <w:sz w:val="15"/>
          <w:szCs w:val="15"/>
        </w:rPr>
        <w:t>(2), 222-247.</w:t>
      </w:r>
    </w:p>
    <w:p>
      <w:pPr>
        <w:keepNext w:val="0"/>
        <w:keepLines w:val="0"/>
        <w:pageBreakBefore w:val="0"/>
        <w:kinsoku/>
        <w:wordWrap/>
        <w:overflowPunct/>
        <w:topLinePunct w:val="0"/>
        <w:autoSpaceDE/>
        <w:autoSpaceDN/>
        <w:bidi w:val="0"/>
        <w:adjustRightInd/>
        <w:snapToGrid/>
        <w:spacing w:line="176" w:lineRule="exact"/>
        <w:ind w:left="300" w:leftChars="0" w:right="0" w:rightChars="0" w:hanging="300" w:hangingChars="200"/>
        <w:jc w:val="both"/>
        <w:textAlignment w:val="auto"/>
        <w:rPr>
          <w:rFonts w:cs="Times New Roman"/>
          <w:color w:val="222222"/>
          <w:sz w:val="15"/>
          <w:szCs w:val="15"/>
          <w:shd w:val="clear" w:color="auto" w:fill="FFFFFF"/>
        </w:rPr>
      </w:pPr>
      <w:r>
        <w:rPr>
          <w:rFonts w:cs="Times New Roman"/>
          <w:color w:val="222222"/>
          <w:sz w:val="15"/>
          <w:szCs w:val="15"/>
          <w:shd w:val="clear" w:color="auto" w:fill="FFFFFF"/>
        </w:rPr>
        <w:t xml:space="preserve">Srinivasan, R., Lilien, G. L., &amp; Sridhar, S. (2011). Should firms spend more on research and development and advertising during recessions?. </w:t>
      </w:r>
      <w:r>
        <w:rPr>
          <w:rFonts w:cs="Times New Roman"/>
          <w:i/>
          <w:iCs/>
          <w:color w:val="222222"/>
          <w:sz w:val="15"/>
          <w:szCs w:val="15"/>
          <w:shd w:val="clear" w:color="auto" w:fill="FFFFFF"/>
        </w:rPr>
        <w:t>Journal of Marketing</w:t>
      </w:r>
      <w:r>
        <w:rPr>
          <w:rFonts w:cs="Times New Roman"/>
          <w:color w:val="222222"/>
          <w:sz w:val="15"/>
          <w:szCs w:val="15"/>
          <w:shd w:val="clear" w:color="auto" w:fill="FFFFFF"/>
        </w:rPr>
        <w:t xml:space="preserve">, </w:t>
      </w:r>
      <w:r>
        <w:rPr>
          <w:rFonts w:cs="Times New Roman"/>
          <w:i/>
          <w:iCs/>
          <w:color w:val="222222"/>
          <w:sz w:val="15"/>
          <w:szCs w:val="15"/>
          <w:shd w:val="clear" w:color="auto" w:fill="FFFFFF"/>
        </w:rPr>
        <w:t>75</w:t>
      </w:r>
      <w:r>
        <w:rPr>
          <w:rFonts w:cs="Times New Roman"/>
          <w:color w:val="222222"/>
          <w:sz w:val="15"/>
          <w:szCs w:val="15"/>
          <w:shd w:val="clear" w:color="auto" w:fill="FFFFFF"/>
        </w:rPr>
        <w:t>(3), 49-65.</w:t>
      </w:r>
    </w:p>
    <w:p>
      <w:pPr>
        <w:keepNext w:val="0"/>
        <w:keepLines w:val="0"/>
        <w:pageBreakBefore w:val="0"/>
        <w:kinsoku/>
        <w:wordWrap/>
        <w:overflowPunct/>
        <w:topLinePunct w:val="0"/>
        <w:autoSpaceDE/>
        <w:autoSpaceDN/>
        <w:bidi w:val="0"/>
        <w:adjustRightInd/>
        <w:snapToGrid/>
        <w:spacing w:line="176" w:lineRule="exact"/>
        <w:ind w:left="300" w:leftChars="0" w:right="0" w:rightChars="0" w:hanging="300" w:hangingChars="200"/>
        <w:jc w:val="both"/>
        <w:textAlignment w:val="auto"/>
        <w:rPr>
          <w:rFonts w:cs="Times New Roman"/>
          <w:color w:val="222222"/>
          <w:sz w:val="15"/>
          <w:szCs w:val="15"/>
          <w:shd w:val="clear" w:color="auto" w:fill="FFFFFF"/>
        </w:rPr>
      </w:pPr>
      <w:r>
        <w:rPr>
          <w:rFonts w:cs="Times New Roman"/>
          <w:color w:val="222222"/>
          <w:sz w:val="15"/>
          <w:szCs w:val="15"/>
          <w:shd w:val="clear" w:color="auto" w:fill="FFFFFF"/>
        </w:rPr>
        <w:t xml:space="preserve">Stokes, D., &amp; Bergin, R. (2006). Methodology or “methodolatry”? An evaluation of focus groups and depth interviews. </w:t>
      </w:r>
      <w:r>
        <w:rPr>
          <w:rFonts w:cs="Times New Roman"/>
          <w:i/>
          <w:iCs/>
          <w:sz w:val="15"/>
          <w:szCs w:val="15"/>
        </w:rPr>
        <w:t>Qualitative market research: An international Journal</w:t>
      </w:r>
      <w:r>
        <w:rPr>
          <w:rFonts w:cs="Times New Roman"/>
          <w:sz w:val="15"/>
          <w:szCs w:val="15"/>
        </w:rPr>
        <w:t>.</w:t>
      </w:r>
    </w:p>
    <w:p>
      <w:pPr>
        <w:keepNext w:val="0"/>
        <w:keepLines w:val="0"/>
        <w:pageBreakBefore w:val="0"/>
        <w:kinsoku/>
        <w:wordWrap/>
        <w:overflowPunct/>
        <w:topLinePunct w:val="0"/>
        <w:autoSpaceDE/>
        <w:autoSpaceDN/>
        <w:bidi w:val="0"/>
        <w:adjustRightInd/>
        <w:snapToGrid/>
        <w:spacing w:line="176" w:lineRule="exact"/>
        <w:ind w:left="300" w:leftChars="0" w:right="0" w:rightChars="0" w:hanging="300" w:hangingChars="200"/>
        <w:jc w:val="both"/>
        <w:textAlignment w:val="auto"/>
        <w:rPr>
          <w:rFonts w:cs="Times New Roman"/>
          <w:color w:val="222222"/>
          <w:sz w:val="15"/>
          <w:szCs w:val="15"/>
          <w:shd w:val="clear" w:color="auto" w:fill="FFFFFF"/>
        </w:rPr>
      </w:pPr>
      <w:r>
        <w:rPr>
          <w:rFonts w:cs="Times New Roman"/>
          <w:color w:val="222222"/>
          <w:sz w:val="15"/>
          <w:szCs w:val="15"/>
          <w:shd w:val="clear" w:color="auto" w:fill="FFFFFF"/>
        </w:rPr>
        <w:t xml:space="preserve">Thompson, J. D. (1967), </w:t>
      </w:r>
      <w:r>
        <w:rPr>
          <w:rFonts w:cs="Times New Roman"/>
          <w:i/>
          <w:iCs/>
          <w:color w:val="222222"/>
          <w:sz w:val="15"/>
          <w:szCs w:val="15"/>
          <w:shd w:val="clear" w:color="auto" w:fill="FFFFFF"/>
        </w:rPr>
        <w:t>Organizations in Action</w:t>
      </w:r>
      <w:r>
        <w:rPr>
          <w:rFonts w:cs="Times New Roman"/>
          <w:color w:val="222222"/>
          <w:sz w:val="15"/>
          <w:szCs w:val="15"/>
          <w:shd w:val="clear" w:color="auto" w:fill="FFFFFF"/>
        </w:rPr>
        <w:t>, NewYork: McGraw-Hill.</w:t>
      </w:r>
    </w:p>
    <w:p>
      <w:pPr>
        <w:keepNext w:val="0"/>
        <w:keepLines w:val="0"/>
        <w:pageBreakBefore w:val="0"/>
        <w:kinsoku/>
        <w:wordWrap/>
        <w:overflowPunct/>
        <w:topLinePunct w:val="0"/>
        <w:autoSpaceDE/>
        <w:autoSpaceDN/>
        <w:bidi w:val="0"/>
        <w:adjustRightInd/>
        <w:snapToGrid/>
        <w:spacing w:line="176" w:lineRule="exact"/>
        <w:ind w:left="300" w:leftChars="0" w:right="0" w:rightChars="0" w:hanging="300" w:hangingChars="200"/>
        <w:jc w:val="both"/>
        <w:textAlignment w:val="auto"/>
        <w:rPr>
          <w:rFonts w:cs="Times New Roman"/>
          <w:color w:val="222222"/>
          <w:sz w:val="15"/>
          <w:szCs w:val="15"/>
          <w:shd w:val="clear" w:color="auto" w:fill="FFFFFF"/>
        </w:rPr>
      </w:pPr>
      <w:r>
        <w:rPr>
          <w:rFonts w:cs="Times New Roman"/>
          <w:color w:val="222222"/>
          <w:sz w:val="15"/>
          <w:szCs w:val="15"/>
          <w:shd w:val="clear" w:color="auto" w:fill="FFFFFF"/>
        </w:rPr>
        <w:t xml:space="preserve">Tsou, H. T., &amp; Cheng, C. C. (2018). How to enhance IT B2B service innovation? An integrated view of organizational mechanisms. </w:t>
      </w:r>
      <w:r>
        <w:rPr>
          <w:rFonts w:cs="Times New Roman"/>
          <w:i/>
          <w:iCs/>
          <w:color w:val="222222"/>
          <w:sz w:val="15"/>
          <w:szCs w:val="15"/>
          <w:shd w:val="clear" w:color="auto" w:fill="FFFFFF"/>
        </w:rPr>
        <w:t>Journal of Business &amp; Industrial Marketing</w:t>
      </w:r>
      <w:r>
        <w:rPr>
          <w:rFonts w:cs="Times New Roman"/>
          <w:color w:val="222222"/>
          <w:sz w:val="15"/>
          <w:szCs w:val="15"/>
          <w:shd w:val="clear" w:color="auto" w:fill="FFFFFF"/>
        </w:rPr>
        <w:t>.</w:t>
      </w:r>
    </w:p>
    <w:p>
      <w:pPr>
        <w:keepNext w:val="0"/>
        <w:keepLines w:val="0"/>
        <w:pageBreakBefore w:val="0"/>
        <w:kinsoku/>
        <w:wordWrap/>
        <w:overflowPunct/>
        <w:topLinePunct w:val="0"/>
        <w:autoSpaceDE/>
        <w:autoSpaceDN/>
        <w:bidi w:val="0"/>
        <w:adjustRightInd/>
        <w:snapToGrid/>
        <w:spacing w:line="176" w:lineRule="exact"/>
        <w:ind w:left="300" w:leftChars="0" w:right="0" w:rightChars="0" w:hanging="300" w:hangingChars="200"/>
        <w:jc w:val="both"/>
        <w:textAlignment w:val="auto"/>
        <w:rPr>
          <w:rFonts w:cs="Times New Roman"/>
          <w:color w:val="222222"/>
          <w:sz w:val="15"/>
          <w:szCs w:val="15"/>
          <w:shd w:val="clear" w:color="auto" w:fill="FFFFFF"/>
        </w:rPr>
      </w:pPr>
      <w:r>
        <w:rPr>
          <w:rFonts w:cs="Times New Roman"/>
          <w:color w:val="222222"/>
          <w:sz w:val="15"/>
          <w:szCs w:val="15"/>
          <w:shd w:val="clear" w:color="auto" w:fill="FFFFFF"/>
        </w:rPr>
        <w:t xml:space="preserve">Turunen, H., &amp; Nummela, N. (2017). Internationalisation at home: The internationalisation of location-bound service SMEs. </w:t>
      </w:r>
      <w:r>
        <w:rPr>
          <w:rFonts w:cs="Times New Roman"/>
          <w:i/>
          <w:iCs/>
          <w:color w:val="222222"/>
          <w:sz w:val="15"/>
          <w:szCs w:val="15"/>
          <w:shd w:val="clear" w:color="auto" w:fill="FFFFFF"/>
        </w:rPr>
        <w:t>Journal of International Entrepreneurship</w:t>
      </w:r>
      <w:r>
        <w:rPr>
          <w:rFonts w:cs="Times New Roman"/>
          <w:color w:val="222222"/>
          <w:sz w:val="15"/>
          <w:szCs w:val="15"/>
          <w:shd w:val="clear" w:color="auto" w:fill="FFFFFF"/>
        </w:rPr>
        <w:t xml:space="preserve">, </w:t>
      </w:r>
      <w:r>
        <w:rPr>
          <w:rFonts w:cs="Times New Roman"/>
          <w:i/>
          <w:iCs/>
          <w:color w:val="222222"/>
          <w:sz w:val="15"/>
          <w:szCs w:val="15"/>
          <w:shd w:val="clear" w:color="auto" w:fill="FFFFFF"/>
        </w:rPr>
        <w:t>15</w:t>
      </w:r>
      <w:r>
        <w:rPr>
          <w:rFonts w:cs="Times New Roman"/>
          <w:color w:val="222222"/>
          <w:sz w:val="15"/>
          <w:szCs w:val="15"/>
          <w:shd w:val="clear" w:color="auto" w:fill="FFFFFF"/>
        </w:rPr>
        <w:t>(1), 36-54.</w:t>
      </w:r>
    </w:p>
    <w:p>
      <w:pPr>
        <w:keepNext w:val="0"/>
        <w:keepLines w:val="0"/>
        <w:pageBreakBefore w:val="0"/>
        <w:kinsoku/>
        <w:wordWrap/>
        <w:overflowPunct/>
        <w:topLinePunct w:val="0"/>
        <w:autoSpaceDE/>
        <w:autoSpaceDN/>
        <w:bidi w:val="0"/>
        <w:adjustRightInd/>
        <w:snapToGrid/>
        <w:spacing w:line="176" w:lineRule="exact"/>
        <w:ind w:left="300" w:leftChars="0" w:right="0" w:rightChars="0" w:hanging="300" w:hangingChars="200"/>
        <w:jc w:val="both"/>
        <w:textAlignment w:val="auto"/>
        <w:rPr>
          <w:rFonts w:cs="Times New Roman"/>
          <w:color w:val="222222"/>
          <w:sz w:val="15"/>
          <w:szCs w:val="15"/>
          <w:shd w:val="clear" w:color="auto" w:fill="FFFFFF"/>
        </w:rPr>
      </w:pPr>
      <w:r>
        <w:rPr>
          <w:rFonts w:cs="Times New Roman"/>
          <w:color w:val="222222"/>
          <w:sz w:val="15"/>
          <w:szCs w:val="15"/>
          <w:shd w:val="clear" w:color="auto" w:fill="FFFFFF"/>
        </w:rPr>
        <w:t xml:space="preserve">Vargo, S. L., &amp; Lusch, R. F. (2004). The four service marketing myths: remnants of a goods-based, manufacturing model. </w:t>
      </w:r>
      <w:r>
        <w:rPr>
          <w:rFonts w:cs="Times New Roman"/>
          <w:i/>
          <w:iCs/>
          <w:sz w:val="15"/>
          <w:szCs w:val="15"/>
        </w:rPr>
        <w:t>Journal of service research</w:t>
      </w:r>
      <w:r>
        <w:rPr>
          <w:rFonts w:cs="Times New Roman"/>
          <w:sz w:val="15"/>
          <w:szCs w:val="15"/>
        </w:rPr>
        <w:t xml:space="preserve">, </w:t>
      </w:r>
      <w:r>
        <w:rPr>
          <w:rFonts w:cs="Times New Roman"/>
          <w:i/>
          <w:iCs/>
          <w:sz w:val="15"/>
          <w:szCs w:val="15"/>
        </w:rPr>
        <w:t>6</w:t>
      </w:r>
      <w:r>
        <w:rPr>
          <w:rFonts w:cs="Times New Roman"/>
          <w:sz w:val="15"/>
          <w:szCs w:val="15"/>
        </w:rPr>
        <w:t>(4), 324-335.</w:t>
      </w:r>
    </w:p>
    <w:p>
      <w:pPr>
        <w:keepNext w:val="0"/>
        <w:keepLines w:val="0"/>
        <w:pageBreakBefore w:val="0"/>
        <w:kinsoku/>
        <w:wordWrap/>
        <w:overflowPunct/>
        <w:topLinePunct w:val="0"/>
        <w:autoSpaceDE/>
        <w:autoSpaceDN/>
        <w:bidi w:val="0"/>
        <w:adjustRightInd/>
        <w:snapToGrid/>
        <w:spacing w:line="176" w:lineRule="exact"/>
        <w:ind w:left="300" w:leftChars="0" w:right="0" w:rightChars="0" w:hanging="300" w:hangingChars="200"/>
        <w:jc w:val="both"/>
        <w:textAlignment w:val="auto"/>
        <w:rPr>
          <w:rFonts w:cs="Times New Roman"/>
          <w:sz w:val="15"/>
          <w:szCs w:val="15"/>
        </w:rPr>
      </w:pPr>
      <w:r>
        <w:rPr>
          <w:rFonts w:cs="Times New Roman"/>
          <w:color w:val="222222"/>
          <w:sz w:val="15"/>
          <w:szCs w:val="15"/>
          <w:shd w:val="clear" w:color="auto" w:fill="FFFFFF"/>
        </w:rPr>
        <w:t xml:space="preserve">Zhang, J., Jiang, Y., Shabbir, R., &amp; Zhu, M. (2016). How brand orientation impacts B2B service brand equity? An empirical study among Chinese firms. </w:t>
      </w:r>
      <w:r>
        <w:rPr>
          <w:rFonts w:cs="Times New Roman"/>
          <w:i/>
          <w:iCs/>
          <w:color w:val="222222"/>
          <w:sz w:val="15"/>
          <w:szCs w:val="15"/>
          <w:shd w:val="clear" w:color="auto" w:fill="FFFFFF"/>
        </w:rPr>
        <w:t>Journal of Business &amp; Industrial Marketing</w:t>
      </w:r>
      <w:r>
        <w:rPr>
          <w:rFonts w:cs="Times New Roman"/>
          <w:color w:val="222222"/>
          <w:sz w:val="15"/>
          <w:szCs w:val="15"/>
          <w:shd w:val="clear" w:color="auto" w:fill="FFFFFF"/>
        </w:rPr>
        <w:t>.</w:t>
      </w:r>
    </w:p>
    <w:sectPr>
      <w:pgSz w:w="11906" w:h="16838"/>
      <w:pgMar w:top="1417" w:right="1417" w:bottom="1417" w:left="1417" w:header="851" w:footer="992" w:gutter="0"/>
      <w:cols w:space="0" w:num="1"/>
      <w:rtlGutter w:val="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汉仪书宋二KW"/>
    <w:panose1 w:val="00000000000000000000"/>
    <w:charset w:val="86"/>
    <w:family w:val="auto"/>
    <w:pitch w:val="default"/>
    <w:sig w:usb0="00000000" w:usb1="00000000" w:usb2="00000000" w:usb3="00000000" w:csb0="00000000" w:csb1="00000000"/>
  </w:font>
  <w:font w:name="Wingdings">
    <w:panose1 w:val="05000000000000000000"/>
    <w:charset w:val="02"/>
    <w:family w:val="auto"/>
    <w:pitch w:val="default"/>
    <w:sig w:usb0="00000000" w:usb1="00000000" w:usb2="00000000" w:usb3="00000000" w:csb0="00000000" w:csb1="00000000"/>
  </w:font>
  <w:font w:name="Arial">
    <w:panose1 w:val="020B0604020202020204"/>
    <w:charset w:val="01"/>
    <w:family w:val="swiss"/>
    <w:pitch w:val="default"/>
    <w:sig w:usb0="00000000" w:usb1="00000000" w:usb2="00000000" w:usb3="00000000" w:csb0="00000000" w:csb1="00000000"/>
  </w:font>
  <w:font w:name="黑体">
    <w:altName w:val="汉仪中黑KW"/>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00000000" w:usb1="00000000" w:usb2="00000000" w:usb3="00000000" w:csb0="00000000" w:csb1="00000000"/>
  </w:font>
  <w:font w:name="Symbol">
    <w:altName w:val="Kingsoft Sign"/>
    <w:panose1 w:val="05050102010706020507"/>
    <w:charset w:val="02"/>
    <w:family w:val="roman"/>
    <w:pitch w:val="default"/>
    <w:sig w:usb0="00000000" w:usb1="00000000" w:usb2="00000000" w:usb3="00000000" w:csb0="80000000" w:csb1="00000000"/>
  </w:font>
  <w:font w:name="Calibri">
    <w:altName w:val="Helvetica Neue"/>
    <w:panose1 w:val="020F0502020204030204"/>
    <w:charset w:val="00"/>
    <w:family w:val="swiss"/>
    <w:pitch w:val="default"/>
    <w:sig w:usb0="00000000" w:usb1="00000000" w:usb2="00000001" w:usb3="00000000" w:csb0="0000019F" w:csb1="00000000"/>
  </w:font>
  <w:font w:name="Helvetica Neue">
    <w:panose1 w:val="02000503000000020004"/>
    <w:charset w:val="00"/>
    <w:family w:val="auto"/>
    <w:pitch w:val="default"/>
    <w:sig w:usb0="00000000" w:usb1="00000000" w:usb2="00000000" w:usb3="00000000" w:csb0="00000000" w:csb1="00000000"/>
  </w:font>
  <w:font w:name="汉仪书宋二KW">
    <w:panose1 w:val="00020600040101010101"/>
    <w:charset w:val="86"/>
    <w:family w:val="auto"/>
    <w:pitch w:val="default"/>
    <w:sig w:usb0="00000000" w:usb1="00000000" w:usb2="00000000" w:usb3="00000000" w:csb0="00160000" w:csb1="00000000"/>
  </w:font>
  <w:font w:name="等线">
    <w:altName w:val="汉仪中等线KW"/>
    <w:panose1 w:val="00000000000000000000"/>
    <w:charset w:val="86"/>
    <w:family w:val="auto"/>
    <w:pitch w:val="default"/>
    <w:sig w:usb0="00000000" w:usb1="00000000" w:usb2="00000000" w:usb3="00000000" w:csb0="00000000" w:csb1="00000000"/>
  </w:font>
  <w:font w:name="汉仪中等线KW">
    <w:panose1 w:val="01010104010101010101"/>
    <w:charset w:val="86"/>
    <w:family w:val="auto"/>
    <w:pitch w:val="default"/>
    <w:sig w:usb0="00000000" w:usb1="00000000" w:usb2="00000000" w:usb3="00000000" w:csb0="00160000" w:csb1="00000000"/>
  </w:font>
  <w:font w:name="等线">
    <w:altName w:val="汉仪中等线KW"/>
    <w:panose1 w:val="00000000000000000000"/>
    <w:charset w:val="86"/>
    <w:family w:val="auto"/>
    <w:pitch w:val="default"/>
    <w:sig w:usb0="00000000" w:usb1="00000000" w:usb2="00000000" w:usb3="00000000" w:csb0="00000000" w:csb1="00000000"/>
  </w:font>
  <w:font w:name="等线">
    <w:altName w:val="汉仪中等线KW"/>
    <w:panose1 w:val="00000000000000000000"/>
    <w:charset w:val="00"/>
    <w:family w:val="auto"/>
    <w:pitch w:val="default"/>
    <w:sig w:usb0="00000000" w:usb1="00000000" w:usb2="00000000" w:usb3="00000000" w:csb0="00000000" w:csb1="00000000"/>
  </w:font>
  <w:font w:name="Times New Roman Bold">
    <w:panose1 w:val="02020603050405020304"/>
    <w:charset w:val="00"/>
    <w:family w:val="auto"/>
    <w:pitch w:val="default"/>
    <w:sig w:usb0="00000000" w:usb1="00000000" w:usb2="00000000" w:usb3="00000000" w:csb0="00000000" w:csb1="00000000"/>
  </w:font>
  <w:font w:name="Times New Roman Regular">
    <w:panose1 w:val="02020603050405020304"/>
    <w:charset w:val="00"/>
    <w:family w:val="auto"/>
    <w:pitch w:val="default"/>
    <w:sig w:usb0="00000000" w:usb1="00000000" w:usb2="00000000" w:usb3="00000000" w:csb0="00000000" w:csb1="00000000"/>
  </w:font>
  <w:font w:name="URWPalladioL-Roma">
    <w:altName w:val="苹方-简"/>
    <w:panose1 w:val="020B0604020202020204"/>
    <w:charset w:val="00"/>
    <w:family w:val="auto"/>
    <w:pitch w:val="default"/>
    <w:sig w:usb0="00000000" w:usb1="00000000" w:usb2="00000000" w:usb3="00000000" w:csb0="00000000" w:csb1="00000000"/>
  </w:font>
  <w:font w:name="苹方-简">
    <w:panose1 w:val="020B0400000000000000"/>
    <w:charset w:val="86"/>
    <w:family w:val="auto"/>
    <w:pitch w:val="default"/>
    <w:sig w:usb0="00000000" w:usb1="00000000" w:usb2="00000000" w:usb3="00000000" w:csb0="00160000" w:csb1="00000000"/>
  </w:font>
  <w:font w:name="宋体-简">
    <w:panose1 w:val="02010600040101010101"/>
    <w:charset w:val="86"/>
    <w:family w:val="auto"/>
    <w:pitch w:val="default"/>
    <w:sig w:usb0="00000000" w:usb1="00000000" w:usb2="00000000" w:usb3="00000000" w:csb0="00160000" w:csb1="00000000"/>
  </w:font>
  <w:font w:name="汉仪中黑KW">
    <w:panose1 w:val="00020600040101010101"/>
    <w:charset w:val="86"/>
    <w:family w:val="auto"/>
    <w:pitch w:val="default"/>
    <w:sig w:usb0="00000000" w:usb1="00000000" w:usb2="00000000" w:usb3="00000000" w:csb0="00160000" w:csb1="00000000"/>
  </w:font>
  <w:font w:name="Kingsoft Sign">
    <w:panose1 w:val="05050102010706020507"/>
    <w:charset w:val="00"/>
    <w:family w:val="auto"/>
    <w:pitch w:val="default"/>
    <w:sig w:usb0="00000000" w:usb1="00000000" w:usb2="00000000" w:usb3="00000000" w:csb0="00000000"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FE568F2C"/>
    <w:multiLevelType w:val="singleLevel"/>
    <w:tmpl w:val="FE568F2C"/>
    <w:lvl w:ilvl="0" w:tentative="0">
      <w:start w:val="1"/>
      <w:numFmt w:val="decimal"/>
      <w:suff w:val="space"/>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222"/>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E6673"/>
    <w:rsid w:val="0002178A"/>
    <w:rsid w:val="000231E9"/>
    <w:rsid w:val="000432AC"/>
    <w:rsid w:val="00071DB3"/>
    <w:rsid w:val="000909DD"/>
    <w:rsid w:val="00091A1A"/>
    <w:rsid w:val="000B2F6E"/>
    <w:rsid w:val="000F7290"/>
    <w:rsid w:val="0012475A"/>
    <w:rsid w:val="001E224A"/>
    <w:rsid w:val="00227AB2"/>
    <w:rsid w:val="002746B1"/>
    <w:rsid w:val="002B1ACE"/>
    <w:rsid w:val="002B522F"/>
    <w:rsid w:val="002C054B"/>
    <w:rsid w:val="002C2BC0"/>
    <w:rsid w:val="002E6673"/>
    <w:rsid w:val="00361711"/>
    <w:rsid w:val="003A289A"/>
    <w:rsid w:val="003C73DC"/>
    <w:rsid w:val="003F5821"/>
    <w:rsid w:val="0040044E"/>
    <w:rsid w:val="00414C26"/>
    <w:rsid w:val="00443EB9"/>
    <w:rsid w:val="004534CC"/>
    <w:rsid w:val="00455A07"/>
    <w:rsid w:val="00457709"/>
    <w:rsid w:val="00466716"/>
    <w:rsid w:val="004B055B"/>
    <w:rsid w:val="004D0E9E"/>
    <w:rsid w:val="005030B9"/>
    <w:rsid w:val="005850BA"/>
    <w:rsid w:val="00592910"/>
    <w:rsid w:val="005E0A58"/>
    <w:rsid w:val="005F47A8"/>
    <w:rsid w:val="00624E99"/>
    <w:rsid w:val="00631173"/>
    <w:rsid w:val="006833AA"/>
    <w:rsid w:val="006955D9"/>
    <w:rsid w:val="006E2F5A"/>
    <w:rsid w:val="006F1195"/>
    <w:rsid w:val="006F74E3"/>
    <w:rsid w:val="00731131"/>
    <w:rsid w:val="00733063"/>
    <w:rsid w:val="00763A05"/>
    <w:rsid w:val="00766369"/>
    <w:rsid w:val="007C0F2C"/>
    <w:rsid w:val="00804B20"/>
    <w:rsid w:val="00862772"/>
    <w:rsid w:val="00877D35"/>
    <w:rsid w:val="00881BBA"/>
    <w:rsid w:val="00885F3F"/>
    <w:rsid w:val="008D1B31"/>
    <w:rsid w:val="00907810"/>
    <w:rsid w:val="0091293B"/>
    <w:rsid w:val="0093069A"/>
    <w:rsid w:val="0095356D"/>
    <w:rsid w:val="00990776"/>
    <w:rsid w:val="009C09B2"/>
    <w:rsid w:val="009C5FD9"/>
    <w:rsid w:val="009D7525"/>
    <w:rsid w:val="009F35AA"/>
    <w:rsid w:val="00A07444"/>
    <w:rsid w:val="00A40526"/>
    <w:rsid w:val="00A718BA"/>
    <w:rsid w:val="00A85560"/>
    <w:rsid w:val="00AB7418"/>
    <w:rsid w:val="00AC0465"/>
    <w:rsid w:val="00B727A4"/>
    <w:rsid w:val="00BC5831"/>
    <w:rsid w:val="00BE2A1B"/>
    <w:rsid w:val="00C0357F"/>
    <w:rsid w:val="00C314A4"/>
    <w:rsid w:val="00C46841"/>
    <w:rsid w:val="00C47CF8"/>
    <w:rsid w:val="00CA5D79"/>
    <w:rsid w:val="00CC0DF8"/>
    <w:rsid w:val="00CD19C2"/>
    <w:rsid w:val="00CE502B"/>
    <w:rsid w:val="00D02976"/>
    <w:rsid w:val="00D11AD8"/>
    <w:rsid w:val="00D328DD"/>
    <w:rsid w:val="00D3433D"/>
    <w:rsid w:val="00D4620D"/>
    <w:rsid w:val="00D46EC7"/>
    <w:rsid w:val="00D77E07"/>
    <w:rsid w:val="00DC7885"/>
    <w:rsid w:val="00DD51A0"/>
    <w:rsid w:val="00DE1EE0"/>
    <w:rsid w:val="00DF2F7D"/>
    <w:rsid w:val="00E37E31"/>
    <w:rsid w:val="00E552A7"/>
    <w:rsid w:val="00E64D43"/>
    <w:rsid w:val="00EA1B92"/>
    <w:rsid w:val="00ED1A61"/>
    <w:rsid w:val="00F010F7"/>
    <w:rsid w:val="00F248E3"/>
    <w:rsid w:val="00F5367D"/>
    <w:rsid w:val="00F83FF9"/>
    <w:rsid w:val="00F90015"/>
    <w:rsid w:val="00FB2778"/>
    <w:rsid w:val="00FD63FC"/>
    <w:rsid w:val="BF2360CB"/>
    <w:rsid w:val="F7FDA82E"/>
    <w:rsid w:val="F9FEF6D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suppressAutoHyphens/>
    </w:pPr>
    <w:rPr>
      <w:rFonts w:ascii="Times New Roman" w:hAnsi="Times New Roman" w:eastAsia="宋体" w:cs="Arial"/>
      <w:kern w:val="2"/>
      <w:sz w:val="24"/>
      <w:szCs w:val="24"/>
      <w:lang w:val="en-US" w:eastAsia="zh-CN" w:bidi="ar-SA"/>
    </w:rPr>
  </w:style>
  <w:style w:type="paragraph" w:styleId="2">
    <w:name w:val="heading 1"/>
    <w:basedOn w:val="1"/>
    <w:next w:val="1"/>
    <w:link w:val="10"/>
    <w:qFormat/>
    <w:uiPriority w:val="9"/>
    <w:pPr>
      <w:widowControl/>
      <w:suppressAutoHyphens w:val="0"/>
      <w:spacing w:before="100" w:beforeAutospacing="1" w:after="100" w:afterAutospacing="1"/>
      <w:outlineLvl w:val="0"/>
    </w:pPr>
    <w:rPr>
      <w:rFonts w:ascii="宋体" w:hAnsi="宋体" w:cs="宋体"/>
      <w:b/>
      <w:bCs/>
      <w:kern w:val="36"/>
      <w:sz w:val="48"/>
      <w:szCs w:val="48"/>
    </w:rPr>
  </w:style>
  <w:style w:type="paragraph" w:styleId="3">
    <w:name w:val="heading 3"/>
    <w:basedOn w:val="1"/>
    <w:next w:val="1"/>
    <w:link w:val="13"/>
    <w:semiHidden/>
    <w:unhideWhenUsed/>
    <w:qFormat/>
    <w:uiPriority w:val="9"/>
    <w:pPr>
      <w:keepNext/>
      <w:keepLines/>
      <w:spacing w:before="260" w:after="260" w:line="416" w:lineRule="auto"/>
      <w:outlineLvl w:val="2"/>
    </w:pPr>
    <w:rPr>
      <w:b/>
      <w:bCs/>
      <w:sz w:val="32"/>
      <w:szCs w:val="32"/>
    </w:rPr>
  </w:style>
  <w:style w:type="character" w:default="1" w:styleId="6">
    <w:name w:val="Default Paragraph Font"/>
    <w:semiHidden/>
    <w:unhideWhenUsed/>
    <w:uiPriority w:val="1"/>
  </w:style>
  <w:style w:type="table" w:default="1" w:styleId="5">
    <w:name w:val="Normal Table"/>
    <w:semiHidden/>
    <w:unhideWhenUsed/>
    <w:uiPriority w:val="99"/>
    <w:tblPr>
      <w:tblCellMar>
        <w:top w:w="0" w:type="dxa"/>
        <w:left w:w="108" w:type="dxa"/>
        <w:bottom w:w="0" w:type="dxa"/>
        <w:right w:w="108" w:type="dxa"/>
      </w:tblCellMar>
    </w:tblPr>
  </w:style>
  <w:style w:type="paragraph" w:styleId="4">
    <w:name w:val="Normal (Web)"/>
    <w:basedOn w:val="1"/>
    <w:semiHidden/>
    <w:unhideWhenUsed/>
    <w:qFormat/>
    <w:uiPriority w:val="99"/>
    <w:pPr>
      <w:widowControl/>
      <w:suppressAutoHyphens w:val="0"/>
      <w:spacing w:before="100" w:beforeAutospacing="1" w:after="100" w:afterAutospacing="1"/>
    </w:pPr>
    <w:rPr>
      <w:rFonts w:ascii="宋体" w:hAnsi="宋体" w:cs="宋体"/>
      <w:kern w:val="0"/>
    </w:rPr>
  </w:style>
  <w:style w:type="character" w:styleId="7">
    <w:name w:val="Emphasis"/>
    <w:basedOn w:val="6"/>
    <w:qFormat/>
    <w:uiPriority w:val="20"/>
    <w:rPr>
      <w:i/>
      <w:iCs/>
    </w:rPr>
  </w:style>
  <w:style w:type="character" w:styleId="8">
    <w:name w:val="Hyperlink"/>
    <w:basedOn w:val="6"/>
    <w:unhideWhenUsed/>
    <w:qFormat/>
    <w:uiPriority w:val="99"/>
    <w:rPr>
      <w:color w:val="0000FF"/>
      <w:u w:val="single"/>
    </w:rPr>
  </w:style>
  <w:style w:type="character" w:customStyle="1" w:styleId="9">
    <w:name w:val="apple-converted-space"/>
    <w:basedOn w:val="6"/>
    <w:qFormat/>
    <w:uiPriority w:val="0"/>
  </w:style>
  <w:style w:type="character" w:customStyle="1" w:styleId="10">
    <w:name w:val="标题 1 字符"/>
    <w:basedOn w:val="6"/>
    <w:link w:val="2"/>
    <w:qFormat/>
    <w:uiPriority w:val="9"/>
    <w:rPr>
      <w:rFonts w:ascii="宋体" w:hAnsi="宋体" w:eastAsia="宋体" w:cs="宋体"/>
      <w:b/>
      <w:bCs/>
      <w:kern w:val="36"/>
      <w:sz w:val="48"/>
      <w:szCs w:val="48"/>
    </w:rPr>
  </w:style>
  <w:style w:type="paragraph" w:styleId="11">
    <w:name w:val="List Paragraph"/>
    <w:basedOn w:val="1"/>
    <w:qFormat/>
    <w:uiPriority w:val="34"/>
    <w:pPr>
      <w:ind w:firstLine="420" w:firstLineChars="200"/>
    </w:pPr>
  </w:style>
  <w:style w:type="character" w:customStyle="1" w:styleId="12">
    <w:name w:val="s1ppyq"/>
    <w:basedOn w:val="6"/>
    <w:qFormat/>
    <w:uiPriority w:val="0"/>
  </w:style>
  <w:style w:type="character" w:customStyle="1" w:styleId="13">
    <w:name w:val="标题 3 字符"/>
    <w:basedOn w:val="6"/>
    <w:link w:val="3"/>
    <w:semiHidden/>
    <w:qFormat/>
    <w:uiPriority w:val="9"/>
    <w:rPr>
      <w:rFonts w:ascii="Times New Roman" w:hAnsi="Times New Roman" w:eastAsia="宋体" w:cs="Arial"/>
      <w:b/>
      <w:bCs/>
      <w:sz w:val="32"/>
      <w:szCs w:val="32"/>
    </w:rPr>
  </w:style>
  <w:style w:type="character" w:customStyle="1" w:styleId="14">
    <w:name w:val="text"/>
    <w:basedOn w:val="6"/>
    <w:qFormat/>
    <w:uiPriority w:val="0"/>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image" Target="media/image1.jpeg"/><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7</Pages>
  <Words>4324</Words>
  <Characters>24651</Characters>
  <Lines>205</Lines>
  <Paragraphs>57</Paragraphs>
  <TotalTime>11</TotalTime>
  <ScaleCrop>false</ScaleCrop>
  <LinksUpToDate>false</LinksUpToDate>
  <CharactersWithSpaces>28918</CharactersWithSpaces>
  <Application>WPS Office_5.1.1.7676_F1E327BC-269C-435d-A152-05C5408002CA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2023-01-07T11:55:00Z</dcterms:created>
  <dc:creator>WANG NUO</dc:creator>
  <cp:lastModifiedBy>Nuo Wang</cp:lastModifiedBy>
  <dcterms:modified xsi:type="dcterms:W3CDTF">2023-02-01T20:16:13Z</dcterms:modified>
  <cp:revision>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zotero-version="6.0.19"&gt;&lt;session id="S15hjsUf"/&gt;&lt;style id="http://www.zotero.org/styles/apa" locale="en-GB" hasBibliography="1" bibliographyStyleHasBeenSet="0"/&gt;&lt;prefs&gt;&lt;pref name="fieldType" value="Field"/&gt;&lt;/prefs&gt;&lt;/data&gt;</vt:lpwstr>
  </property>
  <property fmtid="{D5CDD505-2E9C-101B-9397-08002B2CF9AE}" pid="3" name="KSOProductBuildVer">
    <vt:lpwstr>2052-5.1.1.7676</vt:lpwstr>
  </property>
  <property fmtid="{D5CDD505-2E9C-101B-9397-08002B2CF9AE}" pid="4" name="ICV">
    <vt:lpwstr>690DEA8203202E7771B7DA63EA778573</vt:lpwstr>
  </property>
</Properties>
</file>