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center"/>
        <w:rPr>
          <w:rFonts w:hint="default"/>
          <w:b/>
          <w:sz w:val="20"/>
          <w:szCs w:val="20"/>
          <w:lang w:val="en-US"/>
        </w:rPr>
      </w:pPr>
      <w:r>
        <w:rPr>
          <w:rFonts w:hint="default" w:ascii="Times New Roman Bold" w:hAnsi="Times New Roman Bold" w:cs="Times New Roman Bold"/>
          <w:b/>
          <w:bCs w:val="0"/>
          <w:i w:val="0"/>
          <w:iCs w:val="0"/>
          <w:kern w:val="2"/>
          <w:sz w:val="28"/>
          <w:szCs w:val="28"/>
          <w:lang w:val="en-US" w:eastAsia="zh-CN" w:bidi="ar-SA"/>
        </w:rPr>
        <w:t>D</w:t>
      </w:r>
      <w:r>
        <w:rPr>
          <w:rFonts w:hint="default" w:ascii="Times New Roman Bold" w:hAnsi="Times New Roman Bold" w:eastAsia="宋体" w:cs="Times New Roman Bold"/>
          <w:b/>
          <w:bCs w:val="0"/>
          <w:i w:val="0"/>
          <w:iCs w:val="0"/>
          <w:kern w:val="2"/>
          <w:sz w:val="28"/>
          <w:szCs w:val="28"/>
          <w:lang w:val="en-US" w:eastAsia="zh-CN" w:bidi="ar-SA"/>
        </w:rPr>
        <w:t>ecoding internationalization: examining digital ambidexterity and competitive strategy configuration via fsQCA</w:t>
      </w:r>
    </w:p>
    <w:p>
      <w:pPr>
        <w:autoSpaceDE w:val="0"/>
        <w:autoSpaceDN w:val="0"/>
        <w:adjustRightInd w:val="0"/>
        <w:jc w:val="center"/>
        <w:rPr>
          <w:b/>
          <w:sz w:val="20"/>
          <w:szCs w:val="20"/>
          <w:lang w:val="en-US"/>
        </w:rPr>
      </w:pPr>
    </w:p>
    <w:p>
      <w:pPr>
        <w:autoSpaceDE w:val="0"/>
        <w:autoSpaceDN w:val="0"/>
        <w:adjustRightInd w:val="0"/>
        <w:jc w:val="center"/>
        <w:rPr>
          <w:b/>
          <w:sz w:val="20"/>
          <w:szCs w:val="20"/>
          <w:lang w:val="en-US"/>
        </w:rPr>
      </w:pPr>
    </w:p>
    <w:p>
      <w:pPr>
        <w:jc w:val="center"/>
        <w:rPr>
          <w:rFonts w:hint="default"/>
          <w:b/>
          <w:sz w:val="22"/>
          <w:szCs w:val="22"/>
          <w:lang w:val="en-US"/>
        </w:rPr>
      </w:pPr>
      <w:r>
        <w:rPr>
          <w:rFonts w:hint="default"/>
          <w:b/>
          <w:sz w:val="22"/>
          <w:szCs w:val="22"/>
          <w:lang w:val="en-US"/>
        </w:rPr>
        <w:t>WANG Nuo</w:t>
      </w:r>
    </w:p>
    <w:p>
      <w:pPr>
        <w:keepNext w:val="0"/>
        <w:keepLines w:val="0"/>
        <w:pageBreakBefore w:val="0"/>
        <w:kinsoku/>
        <w:wordWrap/>
        <w:overflowPunct/>
        <w:topLinePunct w:val="0"/>
        <w:autoSpaceDE/>
        <w:autoSpaceDN/>
        <w:bidi w:val="0"/>
        <w:adjustRightInd/>
        <w:snapToGrid/>
        <w:spacing w:line="240" w:lineRule="auto"/>
        <w:jc w:val="center"/>
        <w:rPr>
          <w:rFonts w:hint="default" w:ascii="Times New Roman Italic" w:hAnsi="Times New Roman Italic" w:cs="Times New Roman Italic"/>
          <w:i/>
          <w:iCs/>
          <w:kern w:val="36"/>
          <w:sz w:val="20"/>
          <w:szCs w:val="20"/>
          <w:lang w:val="en-US"/>
        </w:rPr>
      </w:pPr>
      <w:r>
        <w:rPr>
          <w:rFonts w:hint="default" w:ascii="Times New Roman Italic" w:hAnsi="Times New Roman Italic" w:cs="Times New Roman Italic"/>
          <w:i/>
          <w:iCs/>
          <w:kern w:val="36"/>
          <w:sz w:val="20"/>
          <w:szCs w:val="20"/>
          <w:lang w:val="en-US"/>
        </w:rPr>
        <w:t xml:space="preserve">Department of Business, Law, Economics and Consumer Behavior, </w:t>
      </w:r>
      <w:r>
        <w:rPr>
          <w:rFonts w:hint="default" w:ascii="Times New Roman Italic" w:hAnsi="Times New Roman Italic" w:cs="Times New Roman Italic"/>
          <w:i/>
          <w:iCs/>
          <w:kern w:val="36"/>
          <w:sz w:val="20"/>
          <w:szCs w:val="20"/>
        </w:rPr>
        <w:t>IULM University</w:t>
      </w:r>
      <w:r>
        <w:rPr>
          <w:rFonts w:hint="default" w:ascii="Times New Roman Italic" w:hAnsi="Times New Roman Italic" w:cs="Times New Roman Italic"/>
          <w:i/>
          <w:iCs/>
          <w:kern w:val="36"/>
          <w:sz w:val="20"/>
          <w:szCs w:val="20"/>
          <w:lang w:val="en-US"/>
        </w:rPr>
        <w:t xml:space="preserve">, </w:t>
      </w:r>
      <w:r>
        <w:rPr>
          <w:rFonts w:hint="default" w:ascii="Times New Roman Italic" w:hAnsi="Times New Roman Italic" w:cs="Times New Roman Italic"/>
          <w:i/>
          <w:iCs/>
          <w:kern w:val="36"/>
          <w:sz w:val="20"/>
          <w:szCs w:val="20"/>
        </w:rPr>
        <w:t>Via Carlo Bò, 1, 20143, Milan</w:t>
      </w:r>
      <w:r>
        <w:rPr>
          <w:rFonts w:hint="default" w:ascii="Times New Roman Italic" w:hAnsi="Times New Roman Italic" w:cs="Times New Roman Italic"/>
          <w:i/>
          <w:iCs/>
          <w:kern w:val="36"/>
          <w:sz w:val="20"/>
          <w:szCs w:val="20"/>
          <w:lang w:val="en-US"/>
        </w:rPr>
        <w:t xml:space="preserve">, </w:t>
      </w:r>
      <w:r>
        <w:rPr>
          <w:rFonts w:hint="default" w:ascii="Times New Roman Italic" w:hAnsi="Times New Roman Italic" w:cs="Times New Roman Italic"/>
          <w:i/>
          <w:iCs/>
          <w:kern w:val="36"/>
          <w:sz w:val="20"/>
          <w:szCs w:val="20"/>
        </w:rPr>
        <w:t>Italy</w:t>
      </w:r>
      <w:r>
        <w:rPr>
          <w:rFonts w:hint="default" w:ascii="Times New Roman Italic" w:hAnsi="Times New Roman Italic" w:cs="Times New Roman Italic"/>
          <w:i/>
          <w:iCs/>
          <w:kern w:val="36"/>
          <w:sz w:val="20"/>
          <w:szCs w:val="20"/>
          <w:lang w:val="en-US"/>
        </w:rPr>
        <w:t xml:space="preserve">, </w:t>
      </w:r>
      <w:r>
        <w:rPr>
          <w:rFonts w:hint="default" w:ascii="Times New Roman Italic" w:hAnsi="Times New Roman Italic" w:cs="Times New Roman Italic"/>
          <w:i/>
          <w:iCs/>
          <w:kern w:val="36"/>
          <w:sz w:val="20"/>
          <w:szCs w:val="20"/>
          <w:lang w:val="en-US"/>
        </w:rPr>
        <w:fldChar w:fldCharType="begin"/>
      </w:r>
      <w:r>
        <w:rPr>
          <w:rFonts w:hint="default" w:ascii="Times New Roman Italic" w:hAnsi="Times New Roman Italic" w:cs="Times New Roman Italic"/>
          <w:i/>
          <w:iCs/>
          <w:kern w:val="36"/>
          <w:sz w:val="20"/>
          <w:szCs w:val="20"/>
          <w:lang w:val="en-US"/>
        </w:rPr>
        <w:instrText xml:space="preserve"> HYPERLINK "mailto:nuo.wang1@studenti.iulm.it" </w:instrText>
      </w:r>
      <w:r>
        <w:rPr>
          <w:rFonts w:hint="default" w:ascii="Times New Roman Italic" w:hAnsi="Times New Roman Italic" w:cs="Times New Roman Italic"/>
          <w:i/>
          <w:iCs/>
          <w:kern w:val="36"/>
          <w:sz w:val="20"/>
          <w:szCs w:val="20"/>
          <w:lang w:val="en-US"/>
        </w:rPr>
        <w:fldChar w:fldCharType="separate"/>
      </w:r>
      <w:r>
        <w:rPr>
          <w:rStyle w:val="18"/>
          <w:rFonts w:hint="default" w:ascii="Times New Roman Italic" w:hAnsi="Times New Roman Italic" w:cs="Times New Roman Italic"/>
          <w:i/>
          <w:iCs/>
          <w:kern w:val="36"/>
          <w:sz w:val="20"/>
          <w:szCs w:val="20"/>
          <w:lang w:val="en-US"/>
        </w:rPr>
        <w:t>nuo.wang1@studenti.iulm.it</w:t>
      </w:r>
      <w:r>
        <w:rPr>
          <w:rFonts w:hint="default" w:ascii="Times New Roman Italic" w:hAnsi="Times New Roman Italic" w:cs="Times New Roman Italic"/>
          <w:i/>
          <w:iCs/>
          <w:kern w:val="36"/>
          <w:sz w:val="20"/>
          <w:szCs w:val="20"/>
          <w:lang w:val="en-US"/>
        </w:rPr>
        <w:fldChar w:fldCharType="end"/>
      </w:r>
    </w:p>
    <w:p>
      <w:pPr>
        <w:jc w:val="center"/>
        <w:rPr>
          <w:sz w:val="20"/>
          <w:szCs w:val="20"/>
        </w:rPr>
      </w:pPr>
    </w:p>
    <w:p>
      <w:pPr>
        <w:jc w:val="center"/>
        <w:rPr>
          <w:sz w:val="20"/>
          <w:szCs w:val="20"/>
        </w:rPr>
      </w:pPr>
    </w:p>
    <w:p>
      <w:pPr>
        <w:jc w:val="center"/>
        <w:rPr>
          <w:sz w:val="20"/>
          <w:szCs w:val="20"/>
        </w:rPr>
      </w:pPr>
    </w:p>
    <w:p>
      <w:pPr>
        <w:jc w:val="center"/>
        <w:rPr>
          <w:sz w:val="20"/>
          <w:szCs w:val="20"/>
        </w:rPr>
      </w:pPr>
    </w:p>
    <w:p>
      <w:pPr>
        <w:jc w:val="both"/>
        <w:rPr>
          <w:b/>
          <w:sz w:val="20"/>
          <w:szCs w:val="20"/>
        </w:rPr>
      </w:pPr>
      <w:r>
        <w:rPr>
          <w:b/>
          <w:sz w:val="20"/>
          <w:szCs w:val="20"/>
        </w:rPr>
        <w:t>Abstract:</w:t>
      </w:r>
    </w:p>
    <w:p>
      <w:pPr>
        <w:keepNext w:val="0"/>
        <w:keepLines w:val="0"/>
        <w:pageBreakBefore w:val="0"/>
        <w:widowControl/>
        <w:suppressLineNumbers w:val="0"/>
        <w:kinsoku/>
        <w:wordWrap/>
        <w:overflowPunct/>
        <w:topLinePunct w:val="0"/>
        <w:autoSpaceDE/>
        <w:autoSpaceDN/>
        <w:bidi w:val="0"/>
        <w:adjustRightInd/>
        <w:snapToGrid/>
        <w:spacing w:line="240" w:lineRule="auto"/>
        <w:ind w:right="120" w:rightChars="50"/>
        <w:jc w:val="both"/>
        <w:textAlignment w:val="auto"/>
        <w:rPr>
          <w:rFonts w:hint="default" w:ascii="Times New Roman Regular" w:hAnsi="Times New Roman Regular" w:cs="Times New Roman Regular"/>
          <w:b w:val="0"/>
          <w:bCs w:val="0"/>
          <w:i w:val="0"/>
          <w:iCs w:val="0"/>
          <w:sz w:val="20"/>
          <w:szCs w:val="20"/>
          <w:u w:val="none"/>
          <w:lang w:val="en-US" w:eastAsia="zh-CN"/>
        </w:rPr>
      </w:pPr>
      <w:r>
        <w:rPr>
          <w:rFonts w:hint="default" w:ascii="Times New Roman Regular" w:hAnsi="Times New Roman Regular" w:cs="Times New Roman Regular"/>
          <w:b w:val="0"/>
          <w:bCs w:val="0"/>
          <w:i w:val="0"/>
          <w:iCs w:val="0"/>
          <w:sz w:val="20"/>
          <w:szCs w:val="20"/>
          <w:u w:val="none"/>
          <w:lang w:val="en-US" w:eastAsia="zh-CN"/>
        </w:rPr>
        <w:t>This study examines in detail the specific ways employed by Business-to-Business (B2B) firms to navigate the complexities of internationalization. To date, research has primarily focused on fragmented aspects. Drawing on a sample of 341 B2B firms and through an in-depth examination employing the fuzzy-set Qualitative Comparative Analysis (fsQCA) methodology, this research illuminates the nuanced interplay between certain configurations of digital ambidexterity (exploitation or exploration) and competitive strategy (cost, differentiation, and focus), and their effect on firm internationalization business performance, moderated by the digitalization levels (limited, moderate, and high). The findings reveal multiple equifinal configurations that contribute to internationalization performance. Across different levels of digitalization, varying combinations of digital ambidexterity and competitive strategy are found to positively influence business performance, each characterized by a unique configuration of core and peripheral conditions. This study contributes to international business theory and practice, particularly benefiting companies facing resource constraints and seeking clarity on how to prioritize their limited resources. By identifying the specific configurations of digital ambidexterity and competitive strategy that lead to successful internationalization, the research provides a roadmap for B2B firms to navigate the digital landscape and achieve global success.</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 xml:space="preserve">Introduction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eastAsia="zh-CN"/>
        </w:rPr>
        <w:t>D</w:t>
      </w:r>
      <w:r>
        <w:rPr>
          <w:rFonts w:hint="default" w:ascii="Times New Roman Regular" w:hAnsi="Times New Roman Regular" w:cs="Times New Roman Regular"/>
          <w:sz w:val="20"/>
          <w:szCs w:val="20"/>
        </w:rPr>
        <w:t xml:space="preserve">igitalization (Meyer, Li, Brouthers, &amp; Jean, 2023) and changing institutional norms and standards (Dau, Chacar, Lyles, &amp; Li, 2022) have </w:t>
      </w:r>
      <w:r>
        <w:rPr>
          <w:rFonts w:hint="default" w:ascii="Times New Roman Regular" w:hAnsi="Times New Roman Regular" w:cs="Times New Roman Regular"/>
          <w:sz w:val="20"/>
          <w:szCs w:val="20"/>
          <w:lang w:val="en-US"/>
        </w:rPr>
        <w:t xml:space="preserve">important influence on </w:t>
      </w:r>
      <w:r>
        <w:rPr>
          <w:rFonts w:hint="default" w:ascii="Times New Roman Regular" w:hAnsi="Times New Roman Regular" w:cs="Times New Roman Regular"/>
          <w:sz w:val="20"/>
          <w:szCs w:val="20"/>
        </w:rPr>
        <w:t xml:space="preserve">international business (IB) theory and practice. </w:t>
      </w:r>
      <w:r>
        <w:rPr>
          <w:rFonts w:hint="default" w:ascii="Times New Roman Regular" w:hAnsi="Times New Roman Regular" w:cs="Times New Roman Regular"/>
          <w:sz w:val="20"/>
          <w:szCs w:val="20"/>
          <w:lang w:val="en-US"/>
        </w:rPr>
        <w:t>In the rapidly evolving digital landscape, businesses are increasingly challenged to balance the exploitation of existing capabilities with the exploration of new opportunities (</w:t>
      </w:r>
      <w:r>
        <w:rPr>
          <w:rFonts w:hint="default" w:ascii="Times New Roman Regular" w:hAnsi="Times New Roman Regular" w:cs="Times New Roman Regular"/>
          <w:sz w:val="20"/>
          <w:szCs w:val="20"/>
          <w:lang w:val="en-US" w:eastAsia="zh-CN"/>
        </w:rPr>
        <w:t>Amankwah-Amoah et al., 2021)</w:t>
      </w:r>
      <w:r>
        <w:rPr>
          <w:rFonts w:hint="default" w:ascii="Times New Roman Regular" w:hAnsi="Times New Roman Regular" w:cs="Times New Roman Regular"/>
          <w:sz w:val="20"/>
          <w:szCs w:val="20"/>
          <w:lang w:val="en-US"/>
        </w:rPr>
        <w:t>. This duality, known as ambidexterity, has garnered significant attention in the literature as a key determinant of organizational success, particularly in the context of internationalization (</w:t>
      </w:r>
      <w:r>
        <w:rPr>
          <w:rFonts w:hint="default" w:ascii="Times New Roman Regular" w:hAnsi="Times New Roman Regular" w:cs="Times New Roman Regular"/>
          <w:sz w:val="20"/>
          <w:szCs w:val="20"/>
          <w:lang w:val="en-US" w:eastAsia="zh-CN"/>
        </w:rPr>
        <w:t>Ju, M., &amp; Elliott, 2024; Venugopal et al., 2020)</w:t>
      </w:r>
      <w:r>
        <w:rPr>
          <w:rFonts w:hint="default" w:ascii="Times New Roman Regular" w:hAnsi="Times New Roman Regular" w:cs="Times New Roman Regular"/>
          <w:sz w:val="20"/>
          <w:szCs w:val="20"/>
          <w:lang w:val="en-US"/>
        </w:rPr>
        <w:t xml:space="preserve">.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For B2B companies, internationalization serves as a viable business strategy, offering avenues for risk mitigation, new customer acquisition, and expansion beyond local markets</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Ciszewska-Mlinarič, Siemieniako &amp; Wójcik, 2024; Zahoor, N., &amp; Lew, 2023)</w:t>
      </w:r>
      <w:r>
        <w:rPr>
          <w:rFonts w:hint="default" w:ascii="Times New Roman Regular" w:hAnsi="Times New Roman Regular" w:cs="Times New Roman Regular"/>
          <w:sz w:val="20"/>
          <w:szCs w:val="20"/>
        </w:rPr>
        <w:t>. This strategy can lead to the acquisition of significant key accounts and the transfer of valuable know-how back to the home country (Cuervo-Cazurra, 2011).</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lang w:val="en-US" w:eastAsia="zh-CN"/>
        </w:rPr>
        <w:t xml:space="preserve">The variation in digitalization levels among B2B companies makes it challenging to draw conclusive factors for developing certain digital capabilities. B2B companies operate in different industries, markets, and contexts, leading to varying digitalization requirements and priorities (Hofacker et al., 2020). B2B companies may have limited resources, including financial, technological, and human resources, which can affect their ability to invest in and develop certain digital capabilities (Wang, 2020). Digital capabilities encompass a wide range of technologies and tools, each with its own set of complexities and requirements (Benbya et al., 2020). The digital landscape is constantly evolving, with new technologies, trends, and disruptions emerging regularly. B2B companies need to adapt and evolve their digital capabilities continuously to stay competitive and meet changing customer demands (Zahoor et al., 2022). </w:t>
      </w:r>
      <w:r>
        <w:rPr>
          <w:rFonts w:hint="default" w:ascii="Times New Roman Regular" w:hAnsi="Times New Roman Regular" w:cs="Times New Roman Regular"/>
          <w:sz w:val="20"/>
          <w:szCs w:val="20"/>
          <w:lang w:val="en-US"/>
        </w:rPr>
        <w:t>T</w:t>
      </w:r>
      <w:r>
        <w:rPr>
          <w:rFonts w:hint="default" w:ascii="Times New Roman Regular" w:hAnsi="Times New Roman Regular" w:cs="Times New Roman Regular"/>
          <w:sz w:val="20"/>
          <w:szCs w:val="20"/>
        </w:rPr>
        <w:t>herefore, for enterprises with different levels of digitalization, how the micro-level aspects of digital capabilities are combined and intersected to help B2B companies face the fast-changing international markets is a pressing issue.</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Configurations refer to the interplay between different digital capabilities and various levels of digitalization, providing a holistic perspective in line with Gestalt theory (Dess et al., 1993). Thus, from a configurational perspective, the primary concern is not whether individual digital capabilities of the internationalization process are present or how developed they are (e.g., to what extent social media is applied in a limited digitalized level B2B company), but rather how different digital capabilities of limited digitalized companies</w:t>
      </w:r>
      <w:r>
        <w:rPr>
          <w:rFonts w:hint="default" w:ascii="Times New Roman Regular" w:hAnsi="Times New Roman Regular" w:cs="Times New Roman Regular"/>
          <w:sz w:val="20"/>
          <w:szCs w:val="20"/>
          <w:lang w:val="en-US"/>
        </w:rPr>
        <w:t xml:space="preserve">, moderated digitalized and </w:t>
      </w:r>
      <w:r>
        <w:rPr>
          <w:rFonts w:hint="default" w:ascii="Times New Roman Regular" w:hAnsi="Times New Roman Regular" w:cs="Times New Roman Regular"/>
          <w:sz w:val="20"/>
          <w:szCs w:val="20"/>
        </w:rPr>
        <w:t>highly digitalized companies interact to form a constellation of conditions (Meyer et al., 1993).</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eastAsia="zh-CN"/>
        </w:rPr>
      </w:pPr>
      <w:r>
        <w:rPr>
          <w:rFonts w:hint="default" w:ascii="Times New Roman Regular" w:hAnsi="Times New Roman Regular" w:cs="Times New Roman Regular"/>
          <w:sz w:val="20"/>
          <w:szCs w:val="20"/>
        </w:rPr>
        <w:t>Our research starts from these considerations, grounded in configuration theory. We specifically focus on configurations associated with digital capabilities portfolios. Instead of simple causality analysis, which is often a regression-based method and does not cover asymmetric or complex causal phenomena (Greckhamer et al., 2008; Fiss, 2007), we address the research question</w:t>
      </w:r>
      <w:r>
        <w:rPr>
          <w:rFonts w:hint="default" w:ascii="Times New Roman Regular" w:hAnsi="Times New Roman Regular" w:cs="Times New Roman Regular"/>
          <w:sz w:val="20"/>
          <w:szCs w:val="20"/>
          <w:lang w:eastAsia="zh-CN"/>
        </w:rPr>
        <w:t>：</w:t>
      </w:r>
    </w:p>
    <w:p>
      <w:pPr>
        <w:keepNext w:val="0"/>
        <w:keepLines w:val="0"/>
        <w:pageBreakBefore w:val="0"/>
        <w:widowControl/>
        <w:suppressLineNumbers w:val="0"/>
        <w:kinsoku/>
        <w:wordWrap/>
        <w:overflowPunct/>
        <w:topLinePunct w:val="0"/>
        <w:autoSpaceDE/>
        <w:autoSpaceDN/>
        <w:bidi w:val="0"/>
        <w:adjustRightInd/>
        <w:snapToGrid/>
        <w:spacing w:line="240" w:lineRule="auto"/>
        <w:ind w:right="360" w:rightChars="150"/>
        <w:jc w:val="both"/>
        <w:textAlignment w:val="auto"/>
        <w:rPr>
          <w:rFonts w:hint="default" w:ascii="Times New Roman Regular" w:hAnsi="Times New Roman Regular" w:cs="Times New Roman Regular"/>
          <w:b w:val="0"/>
          <w:bCs w:val="0"/>
          <w:i/>
          <w:iCs/>
          <w:sz w:val="20"/>
          <w:szCs w:val="20"/>
          <w:lang w:val="en-US" w:eastAsia="zh-CN"/>
        </w:rPr>
      </w:pPr>
      <w:r>
        <w:rPr>
          <w:rFonts w:hint="default" w:ascii="Times New Roman Regular" w:hAnsi="Times New Roman Regular" w:cs="Times New Roman Regular"/>
          <w:b w:val="0"/>
          <w:bCs w:val="0"/>
          <w:i/>
          <w:iCs/>
          <w:sz w:val="20"/>
          <w:szCs w:val="20"/>
          <w:lang w:val="en-US" w:eastAsia="zh-CN"/>
        </w:rPr>
        <w:t>RQ1: What are the roles of digital ambidexterity and competitive strategy to improve and sustain B2B companies’ internationalization business performance?</w:t>
      </w:r>
    </w:p>
    <w:p>
      <w:pPr>
        <w:keepNext w:val="0"/>
        <w:keepLines w:val="0"/>
        <w:pageBreakBefore w:val="0"/>
        <w:widowControl/>
        <w:suppressLineNumbers w:val="0"/>
        <w:kinsoku/>
        <w:wordWrap/>
        <w:overflowPunct/>
        <w:topLinePunct w:val="0"/>
        <w:autoSpaceDE/>
        <w:autoSpaceDN/>
        <w:bidi w:val="0"/>
        <w:adjustRightInd/>
        <w:snapToGrid/>
        <w:spacing w:line="240" w:lineRule="auto"/>
        <w:ind w:right="360" w:rightChars="150"/>
        <w:jc w:val="both"/>
        <w:textAlignment w:val="auto"/>
        <w:rPr>
          <w:rFonts w:hint="default" w:ascii="Times New Roman Regular" w:hAnsi="Times New Roman Regular" w:cs="Times New Roman Regular"/>
          <w:b w:val="0"/>
          <w:bCs w:val="0"/>
          <w:i/>
          <w:iCs/>
          <w:sz w:val="20"/>
          <w:szCs w:val="20"/>
          <w:lang w:val="en-US"/>
        </w:rPr>
      </w:pPr>
      <w:r>
        <w:rPr>
          <w:rFonts w:hint="default" w:ascii="Times New Roman Regular" w:hAnsi="Times New Roman Regular" w:cs="Times New Roman Regular"/>
          <w:b w:val="0"/>
          <w:bCs w:val="0"/>
          <w:i/>
          <w:iCs/>
          <w:sz w:val="20"/>
          <w:szCs w:val="20"/>
          <w:lang w:val="en-US" w:eastAsia="zh-CN"/>
        </w:rPr>
        <w:t>RQ2: W</w:t>
      </w:r>
      <w:r>
        <w:rPr>
          <w:rFonts w:hint="default" w:ascii="Times New Roman Regular" w:hAnsi="Times New Roman Regular" w:cs="Times New Roman Regular"/>
          <w:b w:val="0"/>
          <w:bCs w:val="0"/>
          <w:i/>
          <w:iCs/>
          <w:sz w:val="20"/>
          <w:szCs w:val="20"/>
        </w:rPr>
        <w:t xml:space="preserve">hich </w:t>
      </w:r>
      <w:r>
        <w:rPr>
          <w:rFonts w:hint="default" w:ascii="Times New Roman Regular" w:hAnsi="Times New Roman Regular" w:cs="Times New Roman Regular"/>
          <w:b w:val="0"/>
          <w:bCs w:val="0"/>
          <w:i/>
          <w:iCs/>
          <w:sz w:val="20"/>
          <w:szCs w:val="20"/>
          <w:lang w:val="en-US"/>
        </w:rPr>
        <w:t xml:space="preserve">digital </w:t>
      </w:r>
      <w:r>
        <w:rPr>
          <w:rFonts w:hint="default" w:ascii="Times New Roman Regular" w:hAnsi="Times New Roman Regular" w:cs="Times New Roman Regular"/>
          <w:b w:val="0"/>
          <w:bCs w:val="0"/>
          <w:i/>
          <w:iCs/>
          <w:sz w:val="20"/>
          <w:szCs w:val="20"/>
          <w:lang w:val="en-US" w:eastAsia="zh-CN"/>
        </w:rPr>
        <w:t xml:space="preserve">ambidexterity and competitive strategy </w:t>
      </w:r>
      <w:r>
        <w:rPr>
          <w:rFonts w:hint="default" w:ascii="Times New Roman Regular" w:hAnsi="Times New Roman Regular" w:cs="Times New Roman Regular"/>
          <w:b w:val="0"/>
          <w:bCs w:val="0"/>
          <w:i/>
          <w:iCs/>
          <w:sz w:val="20"/>
          <w:szCs w:val="20"/>
        </w:rPr>
        <w:t xml:space="preserve">are necessary and/or sufficient, and which represent core or periphery conditions for configurations characterized by superior internationalization </w:t>
      </w:r>
      <w:r>
        <w:rPr>
          <w:rFonts w:hint="default" w:ascii="Times New Roman Regular" w:hAnsi="Times New Roman Regular" w:cs="Times New Roman Regular"/>
          <w:b w:val="0"/>
          <w:bCs w:val="0"/>
          <w:i/>
          <w:iCs/>
          <w:sz w:val="20"/>
          <w:szCs w:val="20"/>
          <w:lang w:val="en-US"/>
        </w:rPr>
        <w:t xml:space="preserve">business </w:t>
      </w:r>
      <w:r>
        <w:rPr>
          <w:rFonts w:hint="default" w:ascii="Times New Roman Regular" w:hAnsi="Times New Roman Regular" w:cs="Times New Roman Regular"/>
          <w:b w:val="0"/>
          <w:bCs w:val="0"/>
          <w:i/>
          <w:iCs/>
          <w:sz w:val="20"/>
          <w:szCs w:val="20"/>
        </w:rPr>
        <w:t>performance</w:t>
      </w:r>
      <w:r>
        <w:rPr>
          <w:rFonts w:hint="default" w:ascii="Times New Roman Regular" w:hAnsi="Times New Roman Regular" w:cs="Times New Roman Regular"/>
          <w:b w:val="0"/>
          <w:bCs w:val="0"/>
          <w:i/>
          <w:iCs/>
          <w:sz w:val="20"/>
          <w:szCs w:val="20"/>
          <w:lang w:val="en-US"/>
        </w:rPr>
        <w:t>?</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Addressing these questions makes several important contributions. First, this study is one of the very few empirical studies examining the success of business performance through a configurational lens. Specifically, the study finds that configurations promote internationalization performance, and that the interplay of digitalization levels is key in this context, rather than single conditions. Secondly, the present study provides a more comprehensive and systematic</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rPr>
        <w:t>understanding of micro-level aspects of digital capabilities combined and intersected, aiding B2B companies in facing the fast-changing international markets. The research shows that, irrespective of their digitalization levels, firms can achieve high internationalization performance as long as the relevant digital capabilities are aligned. Thirdly, the study applies fuzzy set qualitative comparative analysis (fsQCA), which is well-suited for understanding phenomena based on configuration theory (Greckhamer et al., 2008).</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Regular" w:hAnsi="Times New Roman Regular" w:cs="Times New Roman Regular"/>
          <w:b w:val="0"/>
          <w:bCs w:val="0"/>
          <w:sz w:val="20"/>
          <w:szCs w:val="20"/>
        </w:rPr>
      </w:pPr>
      <w:r>
        <w:rPr>
          <w:rFonts w:hint="default" w:ascii="Times New Roman Regular" w:hAnsi="Times New Roman Regular" w:cs="Times New Roman Regular"/>
          <w:b w:val="0"/>
          <w:bCs w:val="0"/>
          <w:sz w:val="20"/>
          <w:szCs w:val="20"/>
          <w:lang w:val="en-US" w:eastAsia="zh-CN"/>
        </w:rPr>
        <w:t>Literature</w:t>
      </w:r>
      <w:r>
        <w:rPr>
          <w:rFonts w:hint="default" w:ascii="Times New Roman Regular" w:hAnsi="Times New Roman Regular" w:cs="Times New Roman Regular"/>
          <w:b w:val="0"/>
          <w:bCs w:val="0"/>
          <w:sz w:val="20"/>
          <w:szCs w:val="20"/>
          <w:lang w:eastAsia="zh-CN"/>
        </w:rPr>
        <w:t xml:space="preserve"> </w:t>
      </w:r>
      <w:r>
        <w:rPr>
          <w:rFonts w:hint="default" w:ascii="Times New Roman Regular" w:hAnsi="Times New Roman Regular" w:cs="Times New Roman Regular"/>
          <w:b w:val="0"/>
          <w:bCs w:val="0"/>
          <w:sz w:val="20"/>
          <w:szCs w:val="20"/>
        </w:rPr>
        <w:t>review</w:t>
      </w:r>
    </w:p>
    <w:p>
      <w:pPr>
        <w:keepNext w:val="0"/>
        <w:keepLines w:val="0"/>
        <w:pageBreakBefore w:val="0"/>
        <w:widowControl/>
        <w:numPr>
          <w:ilvl w:val="1"/>
          <w:numId w:val="2"/>
        </w:numPr>
        <w:suppressLineNumbers w:val="0"/>
        <w:kinsoku/>
        <w:wordWrap/>
        <w:overflowPunct/>
        <w:topLinePunct w:val="0"/>
        <w:autoSpaceDE/>
        <w:autoSpaceDN/>
        <w:bidi w:val="0"/>
        <w:adjustRightInd/>
        <w:snapToGrid/>
        <w:spacing w:line="240" w:lineRule="auto"/>
        <w:ind w:leftChars="0"/>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Ambidexterity under digitalization context</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In the rapidly evolving digital landscape, businesses are increasingly challenged to balance the exploitation of existing capabilities with the exploration of new opportunities (</w:t>
      </w:r>
      <w:r>
        <w:rPr>
          <w:rFonts w:hint="default" w:ascii="Times New Roman Regular" w:hAnsi="Times New Roman Regular" w:cs="Times New Roman Regular"/>
          <w:sz w:val="20"/>
          <w:szCs w:val="20"/>
          <w:lang w:val="en-US" w:eastAsia="zh-CN"/>
        </w:rPr>
        <w:t>Amankwah-Amoah et al., 2021)</w:t>
      </w:r>
      <w:r>
        <w:rPr>
          <w:rFonts w:hint="default" w:ascii="Times New Roman Regular" w:hAnsi="Times New Roman Regular" w:cs="Times New Roman Regular"/>
          <w:sz w:val="20"/>
          <w:szCs w:val="20"/>
          <w:lang w:val="en-US"/>
        </w:rPr>
        <w:t>. This duality, known as ambidexterity, has garnered significant attention in the literature as a key determinant of organizational success, particularly in the context of internationalization (</w:t>
      </w:r>
      <w:r>
        <w:rPr>
          <w:rFonts w:hint="default" w:ascii="Times New Roman Regular" w:hAnsi="Times New Roman Regular" w:cs="Times New Roman Regular"/>
          <w:sz w:val="20"/>
          <w:szCs w:val="20"/>
          <w:lang w:val="en-US" w:eastAsia="zh-CN"/>
        </w:rPr>
        <w:t>Ju, M., &amp; Elliott, 2024; Venugopal et al., 2020)</w:t>
      </w:r>
      <w:r>
        <w:rPr>
          <w:rFonts w:hint="default" w:ascii="Times New Roman Regular" w:hAnsi="Times New Roman Regular" w:cs="Times New Roman Regular"/>
          <w:sz w:val="20"/>
          <w:szCs w:val="20"/>
          <w:lang w:val="en-US"/>
        </w:rPr>
        <w:t xml:space="preserve">.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Ambidexterity refers to an organization's ability to effectively manage and balance conflicting demands for exploration and exploitation. Exploitation involves leveraging existing resources and capabilities to maximize short-term efficiency and performance, while exploration entails seeking out and developing new opportunities and capabilities to ensure long-term sustainability and competitiveness. Research suggests that organizations capable of ambidextrous behavior tend to outperform their counterparts by simultaneously achieving efficiency and innovation.</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Exploitative activities in the digital realm involve optimizing existing technologies, processes, and resources to enhance operational efficiency and productivity. This may include investments in digital tools such as enterprise resource planning (ERP) systems, customer relationship management (CRM) software, and data analytics platforms to streamline business operations and improve decision-making. Conversely, exploratory activities focus on experimenting with emerging technologies, identifying new market trends, and fostering innovation. Companies engage in exploration to uncover untapped opportunities, anticipate future market demands, and gain a competitive edge in the global arena.</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Achieving ambidexterity in developing digital capabilities is crucial for companies pursuing internationalization strategies. By simultaneously exploiting existing digital assets and exploring new technological frontiers, firms can effectively manage the tensions between efficiency and innovation inherent in global expansion. Research suggests that ambidextrous organizations are better positioned to adapt to the dynamic nature of international markets, capitalize on emerging digital trends, and sustain long-term competitive advantage.</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Previous literature confirm the value of developing and balancing the digital ambidexterity in the internationalization context. Ambidexterity allows firms to simultaneously explore new digital technologies and opportunities while exploiting their existing business models and capabilities. This balance is critical for success in rapidly changing digital environments. When internationalizing, ambidextrous firms can adapt their offerings to local markets while maintaining global integration and efficiency. This local responsiveness is enabled by digital technologies. Ambidextrous digital capabilities allow firms to innovate their business models based on market orientation, improving their digital transformation performance. This is especially important for SMEs entering new international markets. Established firms face challenges in implementing ambidextrous solutions due to structural and cultural barriers. Overcoming these barriers is key to successful digital transformation, especially when expanding internationally. Ambidexterity facilitates organizational learning, allowing firms to explore new digital opportunities while exploiting existing knowledge. This learning is critical for adapting to diverse international markets.</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While some attempts have been made to systematically present the concept of digital capabilities from a holistic view, there is still a need for further development and enrichment in the academic discourse surrounding this topic.</w:t>
      </w:r>
    </w:p>
    <w:p>
      <w:pPr>
        <w:keepNext w:val="0"/>
        <w:keepLines w:val="0"/>
        <w:pageBreakBefore w:val="0"/>
        <w:widowControl/>
        <w:numPr>
          <w:ilvl w:val="1"/>
          <w:numId w:val="2"/>
        </w:numPr>
        <w:suppressLineNumbers w:val="0"/>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Competitive strategies of B2B companies with different digitalized levels</w:t>
      </w:r>
    </w:p>
    <w:p>
      <w:pPr>
        <w:keepNext w:val="0"/>
        <w:keepLines w:val="0"/>
        <w:pageBreakBefore w:val="0"/>
        <w:numPr>
          <w:ilvl w:val="0"/>
          <w:numId w:val="0"/>
        </w:numPr>
        <w:kinsoku/>
        <w:wordWrap/>
        <w:overflowPunct/>
        <w:topLinePunct w:val="0"/>
        <w:autoSpaceDE/>
        <w:autoSpaceDN/>
        <w:bidi w:val="0"/>
        <w:adjustRightInd/>
        <w:snapToGrid/>
        <w:spacing w:line="240" w:lineRule="auto"/>
        <w:ind w:leftChars="0"/>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When internationalizing, B2B companies can pursue one of three main competitive strategies: cost leadership, differentiation, or focus</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Chung &amp; Ho, 2021</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The choice of strategy depends on factors such as the company's resources, capabilities, and target market.</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rPr>
        <w:t>Companies following a cost leadership strategy aim to be the low-cost producer in their industry</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Tanwar, 2013</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This allows them to offer competitive prices and undercut rivals. To achieve this, firms may seek economies of scale, access to low-cost raw materials, or efficient production methods</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Luo &amp; Zhao, 2004)</w:t>
      </w:r>
      <w:r>
        <w:rPr>
          <w:rFonts w:hint="default" w:ascii="Times New Roman Regular" w:hAnsi="Times New Roman Regular" w:cs="Times New Roman Regular"/>
          <w:sz w:val="20"/>
          <w:szCs w:val="20"/>
        </w:rPr>
        <w:t>. However, cost leadership requires significant upfront investment and can be difficult to sustain long-term</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Ross, Beath &amp; Goodhue, 1996</w:t>
      </w:r>
      <w:r>
        <w:rPr>
          <w:rFonts w:hint="default" w:ascii="Times New Roman Regular" w:hAnsi="Times New Roman Regular" w:cs="Times New Roman Regular"/>
          <w:sz w:val="20"/>
          <w:szCs w:val="20"/>
          <w:lang w:val="en-US"/>
        </w:rPr>
        <w:t>).</w:t>
      </w:r>
    </w:p>
    <w:p>
      <w:pPr>
        <w:keepNext w:val="0"/>
        <w:keepLines w:val="0"/>
        <w:pageBreakBefore w:val="0"/>
        <w:widowControl/>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rPr>
        <w:t>Differentiation involves offering unique products or services that are perceived as superior by customers</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Gebauer, Gustafsson &amp; Witell, 2011</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This allows firms to charge premium prices and build brand loyalty. Differentiators may invest heavily in R&amp;D, marketing, or customer service</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Fisher, 1991</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Successful differentiation requires deep understanding of customer needs and the ability to deliver exceptional value</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Day &amp; Wensley, 1988</w:t>
      </w:r>
      <w:r>
        <w:rPr>
          <w:rFonts w:hint="default" w:ascii="Times New Roman Regular" w:hAnsi="Times New Roman Regular" w:cs="Times New Roman Regular"/>
          <w:sz w:val="20"/>
          <w:szCs w:val="20"/>
          <w:lang w:val="en-US"/>
        </w:rPr>
        <w:t>).</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Companies pursuing a focus strategy target a narrow market segment, such as a specific customer group or geographic region</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Cortez, Clarke &amp; Freytag, 2021)</w:t>
      </w:r>
      <w:r>
        <w:rPr>
          <w:rFonts w:hint="default" w:ascii="Times New Roman Regular" w:hAnsi="Times New Roman Regular" w:cs="Times New Roman Regular"/>
          <w:sz w:val="20"/>
          <w:szCs w:val="20"/>
        </w:rPr>
        <w:t>. The aim is to serve the target market better than competitors who are more broadly focused. Focus strategies can be based on cost leadership or differentiation within the target segment</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Keskin et al., 2021</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However, focusing too narrowly can limit growth opportunities.</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When internationalizing, B2B firms must adapt their competitive strategy to the new market context</w:t>
      </w:r>
      <w:r>
        <w:rPr>
          <w:rFonts w:hint="default" w:ascii="Times New Roman Regular" w:hAnsi="Times New Roman Regular" w:cs="Times New Roman Regular"/>
          <w:sz w:val="20"/>
          <w:szCs w:val="20"/>
          <w:lang w:val="en-US"/>
        </w:rPr>
        <w:t xml:space="preserve"> (</w:t>
      </w:r>
      <w:r>
        <w:rPr>
          <w:rFonts w:hint="default" w:ascii="Times New Roman Regular" w:hAnsi="Times New Roman Regular" w:cs="Times New Roman Regular"/>
          <w:sz w:val="20"/>
          <w:szCs w:val="20"/>
          <w:lang w:val="en-US" w:eastAsia="zh-CN"/>
        </w:rPr>
        <w:t>Sraha et al., 2020</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This may involve modifying products, pricing, or marketing to suit local preferences and regulations. Successful internationalization requires aligning the firm's strategy with the competitive dynamics and customer demands of each foreign market.</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tl w:val="0"/>
          <w:lang w:val="en-US" w:eastAsia="zh-CN"/>
        </w:rPr>
      </w:pPr>
      <w:r>
        <w:rPr>
          <w:rFonts w:hint="default" w:ascii="Times New Roman Regular" w:hAnsi="Times New Roman Regular" w:cs="Times New Roman Regular"/>
          <w:sz w:val="20"/>
          <w:szCs w:val="20"/>
          <w:rtl w:val="0"/>
          <w:lang w:val="en-US" w:eastAsia="zh-CN"/>
        </w:rPr>
        <w:t>Companies’ digitalized level can determine their digital capabilities development choice and competitive strategies planning. Companies at different levels of digitalization, such as beginner, intermediate, advanced, or expert, will make distinct choices in their digital transformation journey (Mugge et al., 2020). Beginner companies may focus on basic digital initiatives, while advanced companies are likely to implement more sophisticated strategies. Also, understanding the current digital readiness level is crucial for companies to identify strengths, weaknesses, and opportunities for digital transformation (Machado et al., 2021). This assessment guides companies in making informed decisions about their digital maturity choices.</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rtl w:val="0"/>
          <w:lang w:val="en-US" w:eastAsia="zh-CN"/>
        </w:rPr>
      </w:pPr>
      <w:r>
        <w:rPr>
          <w:rFonts w:hint="default" w:ascii="Times New Roman Regular" w:hAnsi="Times New Roman Regular" w:cs="Times New Roman Regular"/>
          <w:sz w:val="20"/>
          <w:szCs w:val="20"/>
          <w:rtl w:val="0"/>
          <w:lang w:val="en-US" w:eastAsia="zh-CN"/>
        </w:rPr>
        <w:t>The level of digitalization influences a company's digital strategy, including decisions on technology adoption, organizational culture, and business models (Favoretto et al., 2022; Proksch et al., 2024). Companies with higher digital maturity are more likely to adopt advanced digital strategies to gain a competitive edge (Bharadwaj et al., 2013). Companies with varying levels of digital maturity will make different competitive choices based on their digital capabilities and readiness. More digitally mature companies may focus on innovation, customer-centric approaches, and agile operations to stay competitive in the digital landscape (Khanom, 2023).</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w:hAnsi="Times New Roman" w:cs="Times New Roman"/>
          <w:b w:val="0"/>
          <w:bCs w:val="0"/>
          <w:sz w:val="20"/>
          <w:szCs w:val="20"/>
          <w:lang w:val="en-US"/>
        </w:rPr>
      </w:pPr>
      <w:r>
        <w:rPr>
          <w:rFonts w:hint="default" w:ascii="Times New Roman" w:hAnsi="Times New Roman" w:cs="Times New Roman"/>
          <w:b w:val="0"/>
          <w:bCs w:val="0"/>
          <w:sz w:val="20"/>
          <w:szCs w:val="20"/>
          <w:lang w:val="en-US"/>
        </w:rPr>
        <w:t>Rsearch method and design</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eastAsia="zh-CN"/>
        </w:rPr>
      </w:pPr>
      <w:r>
        <w:rPr>
          <w:rFonts w:hint="default" w:ascii="Times New Roman" w:hAnsi="Times New Roman" w:cs="Times New Roman"/>
          <w:b w:val="0"/>
          <w:bCs w:val="0"/>
          <w:sz w:val="20"/>
          <w:szCs w:val="20"/>
        </w:rPr>
        <w:t xml:space="preserve">To evaluate the configurational pathways, the fussy-set qualitative comparative analysis (fsQCA) configurational </w:t>
      </w:r>
      <w:r>
        <w:rPr>
          <w:rFonts w:hint="default" w:ascii="Times New Roman Regular" w:hAnsi="Times New Roman Regular" w:cs="Times New Roman Regular"/>
          <w:sz w:val="20"/>
          <w:szCs w:val="20"/>
        </w:rPr>
        <w:t>approach is applied (Ragin, Shulman, Weinberg, &amp; Gran, 2003</w:t>
      </w:r>
      <w:r>
        <w:rPr>
          <w:rFonts w:hint="default" w:ascii="Times New Roman Regular" w:hAnsi="Times New Roman Regular" w:cs="Times New Roman Regular"/>
          <w:sz w:val="20"/>
          <w:szCs w:val="20"/>
          <w:lang w:val="en-US"/>
        </w:rPr>
        <w:t>)</w:t>
      </w:r>
      <w:r>
        <w:rPr>
          <w:rFonts w:hint="default" w:ascii="Times New Roman Regular" w:hAnsi="Times New Roman Regular" w:cs="Times New Roman Regular"/>
          <w:sz w:val="20"/>
          <w:szCs w:val="20"/>
        </w:rPr>
        <w:t xml:space="preserve">. </w:t>
      </w:r>
      <w:r>
        <w:rPr>
          <w:rFonts w:hint="default" w:ascii="Times New Roman Regular" w:hAnsi="Times New Roman Regular" w:cs="Times New Roman Regular"/>
          <w:sz w:val="20"/>
          <w:szCs w:val="20"/>
          <w:lang w:val="en-US" w:eastAsia="zh-CN"/>
        </w:rPr>
        <w:t xml:space="preserve">QCA represents a suitable methodology for analyzing configurational statements (Woodside, 2013). QCA is based on set-theoretic assumptions and provides an understanding of the interplay between different variables (called conditions) in affecting the presence (or absence) of a specific outcome. </w:t>
      </w:r>
    </w:p>
    <w:p>
      <w:pPr>
        <w:keepNext w:val="0"/>
        <w:keepLines w:val="0"/>
        <w:pageBreakBefore w:val="0"/>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Regular" w:hAnsi="Times New Roman Regular" w:cs="Times New Roman Regular"/>
          <w:sz w:val="20"/>
          <w:szCs w:val="20"/>
          <w:lang w:val="en-US"/>
        </w:rPr>
      </w:pPr>
      <w:r>
        <w:rPr>
          <w:rFonts w:hint="default" w:ascii="Times New Roman Regular" w:hAnsi="Times New Roman Regular" w:cs="Times New Roman Regular"/>
          <w:sz w:val="20"/>
          <w:szCs w:val="20"/>
          <w:lang w:val="en-US"/>
        </w:rPr>
        <w:t>Sample</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 xml:space="preserve">We used data from 341 firms located in the whole Italy. The data was collected using a programming service sent to senior export managers, international key account managers and international product managers that are responsible for international sales. Senior marketing managers were asked to answer the questions for the company function they are working on, and if they deal with foreign markets sales and relationship. </w:t>
      </w:r>
    </w:p>
    <w:p>
      <w:pPr>
        <w:keepNext w:val="0"/>
        <w:keepLines w:val="0"/>
        <w:pageBreakBefore w:val="0"/>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 xml:space="preserve">Measurement </w:t>
      </w:r>
    </w:p>
    <w:p>
      <w:pPr>
        <w:keepNext w:val="0"/>
        <w:keepLines w:val="0"/>
        <w:pageBreakBefore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 xml:space="preserve">In line with previous research on strategy types, the relationship strategy was operationalized through a self-reported measure (James &amp; Hatten, 1995). Respondents were asked to read three different paragraphs characterizing the digitalization levels of their companies (Brodny &amp; Tutak, 2021; Buer et al., 2021). Table 1 shows all the descriptors. Respondents were then required to indicate which paragraph best fits the condition of their organization. This classification built the basis for dividing the sample into three sub-groups. The respondents identified the digitalization level of their companies: limited digitalized (91 firms), moderate digitalized (172 firms) and highly digitalized (83 firms). </w:t>
      </w:r>
    </w:p>
    <w:p>
      <w:pPr>
        <w:pStyle w:val="26"/>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sz w:val="20"/>
          <w:szCs w:val="20"/>
          <w:lang w:val="en-US" w:eastAsia="zh-CN"/>
        </w:rPr>
      </w:pPr>
      <w:r>
        <w:rPr>
          <w:rFonts w:hint="default" w:ascii="Times New Roman Regular" w:hAnsi="Times New Roman Regular" w:cs="Times New Roman Regular"/>
          <w:sz w:val="20"/>
          <w:szCs w:val="20"/>
          <w:lang w:val="en-US" w:eastAsia="zh-CN"/>
        </w:rPr>
        <w:t xml:space="preserve">For the outcome variable (i.e. business performance) as well as the DCs, seven-point Likert-type scales (anchored in 1=completely disagree, to 7=completely agree) were used with established multi-item reflective measurement models for all constructs. Table 2 shows all the Digital Capabilities and the multi-items. </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Times New Roman Regular" w:hAnsi="Times New Roman Regular" w:cs="Times New Roman Regular"/>
          <w:b w:val="0"/>
          <w:bCs w:val="0"/>
          <w:sz w:val="20"/>
          <w:szCs w:val="20"/>
        </w:rPr>
      </w:pPr>
      <w:r>
        <w:rPr>
          <w:rFonts w:hint="default" w:ascii="Times New Roman Regular" w:hAnsi="Times New Roman Regular" w:eastAsia="helvetica" w:cs="Times New Roman Regular"/>
          <w:b w:val="0"/>
          <w:bCs w:val="0"/>
          <w:kern w:val="0"/>
          <w:sz w:val="20"/>
          <w:szCs w:val="20"/>
          <w:lang w:val="en-US" w:eastAsia="zh-CN" w:bidi="ar"/>
        </w:rPr>
        <w:t>Preliminary discussion</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rPr>
          <w:rFonts w:hint="default" w:ascii="Times New Roman Regular" w:hAnsi="Times New Roman Regular" w:eastAsia="Times-Roman" w:cs="Times New Roman Regular"/>
          <w:color w:val="000000"/>
          <w:kern w:val="0"/>
          <w:sz w:val="20"/>
          <w:szCs w:val="20"/>
          <w:lang w:val="en-US" w:eastAsia="zh-CN" w:bidi="ar"/>
        </w:rPr>
      </w:pPr>
      <w:r>
        <w:rPr>
          <w:rFonts w:hint="default" w:ascii="Times New Roman Regular" w:hAnsi="Times New Roman Regular" w:eastAsia="Times-Roman" w:cs="Times New Roman Regular"/>
          <w:color w:val="000000"/>
          <w:kern w:val="0"/>
          <w:sz w:val="20"/>
          <w:szCs w:val="20"/>
          <w:lang w:val="en-US" w:eastAsia="zh-CN" w:bidi="ar"/>
        </w:rPr>
        <w:t xml:space="preserve">In recent years, empirical and anecdotal evidence have advanced an understanding of factors impacting on the internationalization performance (Beugelsdijk et al., 2018; D'Angelo et al., 2013). Prior studies for the most part focus their analyses on the individual net effects of success drivers. These studies typically suggest that firms that perform very well on a holistic dimensions considering their capabilities of exploitation or exploration and the competitive strategies in use based on different digitalized levels will show significant and positive effects on performance constructs. Generally speaking, this points to a lack of research integrating the multitude of digital capabilities and competitive strategies characteristics (i.e., conditions) into an overarching analytical framework to account for the interdependencies between these conditions. Employing a configurational approach based on fsQCA enabled us to simultaneously analyze distinct conditions promoting business performance and to show how the relevant digital capabilities and competitive strategies jointly impact the success of business, thus widening the scope of research on success drivers of internationalization. </w:t>
      </w:r>
    </w:p>
    <w:p>
      <w:pPr>
        <w:keepNext w:val="0"/>
        <w:keepLines w:val="0"/>
        <w:pageBreakBefore w:val="0"/>
        <w:widowControl/>
        <w:numPr>
          <w:ilvl w:val="1"/>
          <w:numId w:val="2"/>
        </w:numPr>
        <w:suppressLineNumbers w:val="0"/>
        <w:kinsoku/>
        <w:wordWrap/>
        <w:overflowPunct/>
        <w:topLinePunct w:val="0"/>
        <w:autoSpaceDE/>
        <w:autoSpaceDN/>
        <w:bidi w:val="0"/>
        <w:adjustRightInd/>
        <w:snapToGrid/>
        <w:spacing w:line="240" w:lineRule="auto"/>
        <w:ind w:left="0" w:leftChars="0" w:firstLine="0" w:firstLineChars="0"/>
        <w:jc w:val="left"/>
        <w:rPr>
          <w:rFonts w:hint="default" w:ascii="Times New Roman Regular" w:hAnsi="Times New Roman Regular" w:cs="Times New Roman Regular"/>
          <w:b w:val="0"/>
          <w:bCs/>
          <w:sz w:val="20"/>
          <w:szCs w:val="20"/>
        </w:rPr>
      </w:pPr>
      <w:r>
        <w:rPr>
          <w:rFonts w:hint="default" w:ascii="Times New Roman Regular" w:hAnsi="Times New Roman Regular" w:eastAsia="Times Bold" w:cs="Times New Roman Regular"/>
          <w:b w:val="0"/>
          <w:bCs/>
          <w:color w:val="000000"/>
          <w:kern w:val="0"/>
          <w:sz w:val="20"/>
          <w:szCs w:val="20"/>
          <w:lang w:val="en-US" w:eastAsia="zh-CN" w:bidi="ar"/>
        </w:rPr>
        <w:t xml:space="preserve">Managerial implications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rPr>
          <w:rFonts w:hint="default" w:ascii="Times New Roman Regular" w:hAnsi="Times New Roman Regular" w:eastAsia="Times-Roman" w:cs="Times New Roman Regular"/>
          <w:color w:val="000000"/>
          <w:kern w:val="0"/>
          <w:sz w:val="20"/>
          <w:szCs w:val="20"/>
          <w:lang w:val="en-US" w:eastAsia="zh-CN" w:bidi="ar"/>
        </w:rPr>
      </w:pPr>
      <w:r>
        <w:rPr>
          <w:rFonts w:hint="default" w:ascii="Times New Roman Regular" w:hAnsi="Times New Roman Regular" w:eastAsia="Times-Roman" w:cs="Times New Roman Regular"/>
          <w:color w:val="000000"/>
          <w:kern w:val="0"/>
          <w:sz w:val="20"/>
          <w:szCs w:val="20"/>
          <w:lang w:val="en-US" w:eastAsia="zh-CN" w:bidi="ar"/>
        </w:rPr>
        <w:t xml:space="preserve">Our study offers several implications for managerial practice. Because companies have scarce resources, they have to choose where to focus their efforts. Such focus is also likely when firms are required to decide how to manage their internationalization strategies effectively, with emphasis on some but not all identified levers to achieve superior business performance. Managers need to know from which configurations they can choose to foster business performance, an insight which is not provided by ‘traditional’ variable-based analyses (Fiss, 2007). Thus, by drawing on configuration theory, this study provides specific guidelines to help managers of B2B companies to design internationalization plan in ways that are aligned with the companies’ strategic intent. </w:t>
      </w:r>
    </w:p>
    <w:p>
      <w:pPr>
        <w:keepNext w:val="0"/>
        <w:keepLines w:val="0"/>
        <w:pageBreakBefore w:val="0"/>
        <w:widowControl/>
        <w:numPr>
          <w:ilvl w:val="1"/>
          <w:numId w:val="2"/>
        </w:numPr>
        <w:suppressLineNumbers w:val="0"/>
        <w:kinsoku/>
        <w:wordWrap/>
        <w:overflowPunct/>
        <w:topLinePunct w:val="0"/>
        <w:autoSpaceDE/>
        <w:autoSpaceDN/>
        <w:bidi w:val="0"/>
        <w:adjustRightInd/>
        <w:snapToGrid/>
        <w:spacing w:line="240" w:lineRule="auto"/>
        <w:ind w:left="0" w:leftChars="0" w:firstLine="0" w:firstLineChars="0"/>
        <w:jc w:val="left"/>
        <w:rPr>
          <w:rFonts w:hint="default" w:ascii="Times New Roman Regular" w:hAnsi="Times New Roman Regular" w:cs="Times New Roman Regular"/>
          <w:b w:val="0"/>
          <w:bCs w:val="0"/>
          <w:sz w:val="20"/>
          <w:szCs w:val="20"/>
        </w:rPr>
      </w:pPr>
      <w:r>
        <w:rPr>
          <w:rFonts w:hint="default" w:ascii="Times New Roman Regular" w:hAnsi="Times New Roman Regular" w:eastAsia="Times Bold" w:cs="Times New Roman Regular"/>
          <w:b w:val="0"/>
          <w:bCs w:val="0"/>
          <w:color w:val="000000"/>
          <w:kern w:val="0"/>
          <w:sz w:val="20"/>
          <w:szCs w:val="20"/>
          <w:lang w:val="en-US" w:eastAsia="zh-CN" w:bidi="ar"/>
        </w:rPr>
        <w:t xml:space="preserve"> Limitations and future research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rPr>
          <w:rFonts w:hint="default" w:ascii="Times New Roman Regular" w:hAnsi="Times New Roman Regular" w:eastAsia="Times-Roman" w:cs="Times New Roman Regular"/>
          <w:color w:val="000000"/>
          <w:kern w:val="0"/>
          <w:sz w:val="20"/>
          <w:szCs w:val="20"/>
          <w:lang w:val="en-US" w:eastAsia="zh-CN" w:bidi="ar"/>
        </w:rPr>
      </w:pPr>
      <w:r>
        <w:rPr>
          <w:rFonts w:hint="default" w:ascii="Times New Roman Regular" w:hAnsi="Times New Roman Regular" w:eastAsia="Times-Roman" w:cs="Times New Roman Regular"/>
          <w:color w:val="000000"/>
          <w:kern w:val="0"/>
          <w:sz w:val="20"/>
          <w:szCs w:val="20"/>
          <w:lang w:val="en-US" w:eastAsia="zh-CN" w:bidi="ar"/>
        </w:rPr>
        <w:t xml:space="preserve">This study has several limitations that indicate opportunities for future research. In particular, three areas can be mentioned. First, the sample in our study was restricted to service firms in the Italy. As in the case of any single country study, the findings should be generalized with caution. Secondly, data were obtained from a single key-informant in each company. Thus, the evaluation of the measurement is inclined towards subjective biases. A final limitation is that the model encompasses five conditions that jointly impact the relationship performance in B2B firms. The identified conditions might not cover the full range of factors promoting business performance, and also may differ by country. </w:t>
      </w:r>
    </w:p>
    <w:p>
      <w:pPr>
        <w:keepNext w:val="0"/>
        <w:keepLines w:val="0"/>
        <w:pageBreakBefore w:val="0"/>
        <w:widowControl/>
        <w:suppressLineNumbers w:val="0"/>
        <w:kinsoku/>
        <w:wordWrap/>
        <w:overflowPunct/>
        <w:topLinePunct w:val="0"/>
        <w:autoSpaceDE/>
        <w:autoSpaceDN/>
        <w:bidi w:val="0"/>
        <w:adjustRightInd/>
        <w:snapToGrid/>
        <w:spacing w:line="240" w:lineRule="auto"/>
        <w:ind w:right="120" w:rightChars="50"/>
        <w:jc w:val="both"/>
        <w:textAlignment w:val="auto"/>
        <w:rPr>
          <w:rFonts w:hint="default" w:ascii="Times New Roman Regular" w:hAnsi="Times New Roman Regular" w:cs="Times New Roman Regular"/>
          <w:b w:val="0"/>
          <w:bCs w:val="0"/>
          <w:i w:val="0"/>
          <w:iCs w:val="0"/>
          <w:sz w:val="20"/>
          <w:szCs w:val="20"/>
          <w:u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Regular" w:hAnsi="Times New Roman Regular" w:cs="Times New Roman Regular"/>
          <w:b w:val="0"/>
          <w:bCs w:val="0"/>
          <w:sz w:val="20"/>
          <w:szCs w:val="20"/>
          <w:lang w:val="en-US" w:eastAsia="zh-CN"/>
        </w:rPr>
      </w:pPr>
    </w:p>
    <w:p>
      <w:pPr>
        <w:textAlignment w:val="top"/>
        <w:rPr>
          <w:sz w:val="20"/>
          <w:szCs w:val="20"/>
        </w:rPr>
      </w:pPr>
      <w:bookmarkStart w:id="0" w:name="_GoBack"/>
      <w:bookmarkEnd w:id="0"/>
    </w:p>
    <w:p>
      <w:pPr>
        <w:keepNext w:val="0"/>
        <w:keepLines w:val="0"/>
        <w:pageBreakBefore w:val="0"/>
        <w:widowControl/>
        <w:suppressLineNumbers w:val="0"/>
        <w:kinsoku/>
        <w:wordWrap/>
        <w:overflowPunct/>
        <w:topLinePunct w:val="0"/>
        <w:autoSpaceDE/>
        <w:autoSpaceDN/>
        <w:bidi w:val="0"/>
        <w:adjustRightInd/>
        <w:snapToGrid/>
        <w:spacing w:line="240" w:lineRule="auto"/>
        <w:ind w:right="120" w:rightChars="50"/>
        <w:jc w:val="both"/>
        <w:textAlignment w:val="auto"/>
        <w:rPr>
          <w:rFonts w:hint="default" w:ascii="Times New Roman Regular" w:hAnsi="Times New Roman Regular" w:cs="Times New Roman Regular"/>
          <w:b w:val="0"/>
          <w:bCs w:val="0"/>
          <w:i/>
          <w:iCs w:val="0"/>
          <w:sz w:val="20"/>
          <w:szCs w:val="20"/>
          <w:lang w:val="en-US" w:eastAsia="zh-CN"/>
        </w:rPr>
      </w:pPr>
      <w:r>
        <w:rPr>
          <w:b/>
          <w:i/>
          <w:iCs w:val="0"/>
          <w:sz w:val="20"/>
          <w:szCs w:val="20"/>
        </w:rPr>
        <w:t>Keywords:</w:t>
      </w:r>
      <w:r>
        <w:rPr>
          <w:i/>
          <w:iCs w:val="0"/>
          <w:sz w:val="20"/>
          <w:szCs w:val="20"/>
        </w:rPr>
        <w:t xml:space="preserve">: </w:t>
      </w:r>
      <w:r>
        <w:rPr>
          <w:rFonts w:hint="default" w:ascii="Times New Roman Regular" w:hAnsi="Times New Roman Regular" w:cs="Times New Roman Regular"/>
          <w:b w:val="0"/>
          <w:bCs w:val="0"/>
          <w:i/>
          <w:iCs w:val="0"/>
          <w:sz w:val="20"/>
          <w:szCs w:val="20"/>
          <w:lang w:val="en-US" w:eastAsia="zh-CN"/>
        </w:rPr>
        <w:t>Digital ambidexterity, competitive strategy, internationalization, B2B, fsQCA</w:t>
      </w:r>
    </w:p>
    <w:p>
      <w:pPr>
        <w:pStyle w:val="2"/>
        <w:keepNext w:val="0"/>
        <w:widowControl w:val="0"/>
        <w:rPr>
          <w:b w:val="0"/>
          <w:sz w:val="20"/>
          <w:szCs w:val="20"/>
        </w:rPr>
      </w:pPr>
    </w:p>
    <w:p>
      <w:pPr>
        <w:rPr>
          <w:sz w:val="18"/>
          <w:szCs w:val="18"/>
          <w:lang w:val="en-US" w:eastAsia="sl-SI"/>
        </w:rPr>
      </w:pPr>
    </w:p>
    <w:p>
      <w:pPr>
        <w:rPr>
          <w:rFonts w:hint="default"/>
          <w:sz w:val="20"/>
          <w:szCs w:val="20"/>
          <w:lang w:val="en-US"/>
        </w:rPr>
      </w:pPr>
      <w:r>
        <w:rPr>
          <w:b/>
          <w:bCs/>
          <w:sz w:val="20"/>
          <w:szCs w:val="20"/>
        </w:rPr>
        <w:t>References</w:t>
      </w:r>
      <w:r>
        <w:rPr>
          <w:rFonts w:hint="default"/>
          <w:b/>
          <w:bCs/>
          <w:sz w:val="20"/>
          <w:szCs w:val="20"/>
          <w:lang w:val="en-US"/>
        </w:rPr>
        <w:t>:</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Amankwah-Amoah, J., Khan, Z., Wood, G., &amp; Knight, G. (2021). COVID-19 and digitalization: The great acceleration.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136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602-611.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Balboni, B., Marchi, G., &amp; Vignola, M. (2017). Knowledge transfer in the context of buyer–supplier relationship: An analysis of a supplier's customer portfolio.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80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277-287.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Benbya, H., Davenport, T. H., &amp; Pachidi, S. (2020). Artificial intelligence in organizations: Current state and future opportunities.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MIS Quarterly Executive</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Benito, G. R., Petersen, B., &amp; Welch, L. S. (2019). The global value chain and internalization theory.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1414-1423.</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Berthon, P., Pitt, L., Berthon, J. P., Campbell, C., &amp; Thwaites, D. (2008). e-Relationships for e-Readiness: Culture and corruption in international e-B2B.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83-91.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Beugelsdijk, S., Kostova, T., Kunst, V. E., Spadafora, E., &amp; Van Essen, M. (2018). Cultural distance and firm internationalization: A meta-analytical review and theoretical implications.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89-130.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Bharadwaj, A., El Sawy, O. A., Pavlou, P. A., &amp; Venkatraman, N. V. (2013). Digital business strategy: toward a next generation of insights.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MIS quarterly</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471-482.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Bonaccorsi, A. (1992). On the relationship between firm size and export intensity.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23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605-635.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Boyd, D. E., &amp; Koles, B. (2019). Virtual reality and its impact on B2B marketing: A value-in-use perspective.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590-598.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Brodny, J., &amp; Tutak, M. (2021). Assessing the level of digitalization and robotization in the enterprises of the European Union Member States.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PloS one</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(7), e0254993.</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Buckley, P. J., &amp; Strange, R. (2015). The governance of the global factory: Location and control of world economic activity.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Academy of Management Perspectives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29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237-249.</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Buer, S. V., Semini, M., Strandhagen, J. O., &amp; Sgarbossa, F. (2021). The complementary effect of lean manufacturing and digitalisation on operational performance.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International Journal of Production Research</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59</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(7), 1976-1992.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Canhoto, A. I., Quinton, S., Pera, R., Molinillo, S., &amp; Simkin, L. (2021). Digital strategy aligning in SMEs: A dynamic capabilities perspective.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The Journal of Strategic Information Systems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(3), 101682.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Cenamor, J., Parida, V., &amp; Wincent, J. (2019). How entrepreneurial SMEs compete through digital platforms: The roles of digital platform capability, network capability and ambidexterity.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196-206.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Chatterjee, S., Chaudhuri, R., &amp; Vrontis, D. (2022). Does remote work flexibility enhance organization performance? Moderating role of organization policy and top management support.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139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1501-1512.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Chung, H. F., &amp; Ho, M. H. W. (2021). International competitive strategies, organizational learning and export performance: a match and mis-match conceptualization.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European Journal of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(10), 2794-2822.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Ciszewska-Mlinarič, M., Siemieniako, D., &amp; Wójcik, P. (2024). International dynamic marketing capabilities and international performance during the pandemic: a study of export manufacturers from Poland.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41</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(1), 162-198.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Cortez, R. M., Clarke, A. H., &amp; Freytag, P. V. (2021). B2B market segmentation: A systematic review and research agenda.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126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415-428.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Cuervo-Cazurra, A. (2011). Selecting the country in which to start internationalization: The non-sequential internationalization model.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World Business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426-437.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Dalenogare, L. S., Benitez, G. B., Ayala, N. F., &amp; Frank, A. G. (2018). The expected contribution of Industry 4.0 technologies for industrial performance.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Journal of production economics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204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383-394.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D'Angelo, A., Majocchi, A., Zucchella, A., &amp; Buck, T. (2013). Geographical pathways for SME internationalization: insights from an Italian sample.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80-105.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Dau, L. A., Chacar, A. S., Lyles, M. A., &amp; Li, J. (2022). Informal institutions and international business: Toward an integrative research agenda.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(6), 985-1010.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Davies, P., Bustinza, O. F., Parry, G., &amp; Jovanovic, M. (2023). Unpacking the relationship between digital capabilities, services capabilities, and firm financial performance: a moderated mediation model.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115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1-10.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Day, G. S., &amp; Wensley, R. (1988). Assessing advantage: a framework for diagnosing competitive superiority.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1-20.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Dess, G. G., Newport, S., &amp; Rasheed, A. M. (1993). Configuration research in strategic management: Key issues and suggestions.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775-795.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Dubey, R., Bryde, D. J., Dwivedi, Y. K., Graham, G., Foropon, C., &amp; Papadopoulos, T. (2023). Dynamic digital capabilities and supply chain resilience: The role of government effectiveness.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Journal of Production Economics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258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108790.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Edmonds, E. A., Weakley, A., Candy, L., Fell, M., Knott, R., &amp; Pauletto, S. (2005). The studio as laboratory: Combining creative practice and digital technology research.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Journal of Human-Computer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(4-5), 452-481.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Ernst, H., Hoyer, W. D., &amp; Rübsaamen, C. (2010). Sales, marketing, and research-and-development cooperation across new product development stages: implications for success.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74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(5), 80-92.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Fainshmidt, S., Witt, M. A., Aguilera, R. V., &amp; Verbeke, A. (2020). The contributions of qualitative comparative analysis (QCA) to international business research.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51</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455-466.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Favoretto, C., Mendes, G. H., Oliveira, M. G., Cauchick-Miguel, P. A., &amp; Coreynen, W. (2022). From servitization to digital servitization: How digitalization transforms companies' transition towards services.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104-121.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Fisher, R. J. (1991). Durable differentiation strategies for services.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Services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19-28.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Fiss, P. C. (2007). A set-theoretic approach to organizational configurations.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Academy of management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1180-1198.</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Fiss, P. C. (2011). Building better causal theories: A fuzzy set approach to typologies in organization research.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Academy of management journal</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54</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(2), 393-420.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Fitzgerald, M., Kruschwitz, N., Bonnet, D., &amp; Welch, M. (2014). Embracing digital technology: A new strategic imperative.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MIT sloan management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Fornell, C., &amp; Larcker, D. F. (1981). Evaluating structural equation models with unobservable variables and measurement error.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marketing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39-50.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xml:space="preserve">Freitas Junior, J. C. D. S., Maçada, A. C. G., &amp; Brinkhues, R. A. (2017). Digital capabilities as key to digital business performance. </w:t>
      </w:r>
      <w:r>
        <w:rPr>
          <w:rFonts w:hint="default" w:ascii="Times New Roman Regular" w:hAnsi="Times New Roman Regular" w:eastAsia="宋体" w:cs="Times New Roman Regular"/>
          <w:b/>
          <w:bCs/>
          <w:kern w:val="0"/>
          <w:sz w:val="20"/>
          <w:szCs w:val="20"/>
          <w:lang w:val="en-US" w:eastAsia="zh-CN" w:bidi="ar"/>
        </w:rPr>
        <w:t xml:space="preserve">Twenty-third Americas Conference on Information Systems, Boston, 2017. </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Ganter, A., &amp; Hecker, A. (2014). Configurational paths to organizational innovation: qualitative comparative analyses of antecedents and contingencies.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(6), 1285-1292.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Gebauer, H., Gustafsson, A., &amp; Witell, L. (2011). Competitive advantage through service differentiation by manufacturing companies.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(12), 1270-1280.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Gilli, K., Nippa, M., &amp; Knappstein, M. (2023). Leadership competencies for digital transformation: An exploratory content analysis of job advertisements.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German Journal of Human Resource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50-75.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Gordini, N., &amp; Veglio, V. (2017). Customers churn prediction and marketing retention strategies. An application of support vector machines based on the AUC parameter-selection technique in B2B e-commerce industry.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100-107.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Greckhamer, T., Misangyi, V. F., Elms, H., &amp; Lacey, R. (2008). Using qualitative comparative analysis in strategic management research: An examination of combinations of industry, corporate, and business-unit effects.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Organizational research methods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11</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695-726.</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Grewal, R., Comer, J. M., &amp; Mehta, R. (2001). An investigation into the antecedents of organizational participation in business-to-business electronic markets.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Journal of Marketing</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65</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(3), 17-33.</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Hardwick, J., &amp; Anderson, A. R. (2019). Supplier-customer engagement for collaborative innovation using video conferencing: A study of SMEs.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80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43-57.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Herhausen, D., Emrich, O., Grewal, D., Kipfelsberger, P., &amp; Schoegel, M. (2020). Face forward: How employees’ digital presence on service websites affects customer perceptions of website and employee service quality.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Marketing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(5), 917-936.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Hofacker, C., Golgeci, I., Pillai, K. G., &amp; Gligor, D. M. (2020). Digital marketing and business-to-business relationships: a close look at the interface and a roadmap for the future.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European Journal of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(6), 1161-1179.</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Homburg, C., &amp; Wielgos, D. M. (2022). The value relevance of digital marketing capabilities to firm performance.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the Academy of Marketing Science</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666-688.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Hossain, M. A., Akter, S., Ahsan, M. F., Ahmed, J. U., &amp; Khan, S. (2023). From Caterpillar to Butterfly: Social Media Engagement of the Socially Excluded Third-Gender People in Bangladesh.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Information Systems Frontiers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1-20.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Hult, G. T. M., Ketchen Jr, D. J., Cavusgil, S. T., &amp; Calantone, R. J. (2006). Knowledge as a strategic resource in supply chains.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operations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24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(5), 458-475.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Itani, O. S., Krush, M. T., Agnihotri, R., &amp; Trainor, K. J. (2020). Social media and customer relationship management technologies: Influencing buyer-seller information exchanges.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90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264-275.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James, W. L., &amp; Hatten, K. J. (1995). Further evidence on the validity of the self typing paragraph approach: Miles and Snow strategic archetypes in banking.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Strategic management journal</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161-168.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Jean, R. J. B., Kim, D., Zhou, K. Z., &amp; Cavusgil, S. T. (2021). E-platform use and exporting in the context of Alibaba: A signaling theory perspective.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1-28.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Ju, M., &amp; Elliott, M. T. (2024). Antecedents of organizational ambidexterity: an empirical investigation of foreign ventures in an emerging market.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&amp; Industrial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350-365.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Kaleka, A., &amp; Morgan, N. A. (2019). How marketing capabilities and current performance drive strategic intentions in international markets.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78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108-121.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Kano, L., Tsang, E. W., &amp; Yeung, H. W. C. (2020). Global value chains: A review of the multi-disciplinary literature.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51</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577-622.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Keramati, A., Mehrabi, H., &amp; Mojir, N. (2010). A process-oriented perspective on customer relationship management and organizational performance: An empirical investigation.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(7), 1170-1185.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Keskin, H., Ayar Şentürk, H., Tatoglu, E., Gölgeci, I., Kalaycioglu, O., &amp; Etlioglu, H. T. (2021). The simultaneous effect of firm capabilities and competitive strategies on export performance: the role of competitive advantages and competitive intensity.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(6), 1242-1266.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Khanom, M. T. (2023). Business Strategies in The Age of Digital Transformation.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(01), 28-35.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Kim, K. H., &amp; Moon, H. (2021). Innovative digital marketing management in B2B markets.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95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Lee, Z. W., Chan, T. K., Chong, A. Y. L., &amp; Thadani, D. R. (2019). Customer engagement through omnichannel retailing: The effects of channel integration quality.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77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90-101.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Leeflang, P. S., Verhoef, P. C., Dahlström, P., &amp; Freundt, T. (2014). Challenges and solutions for marketing in a digital era.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European management journal</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1-12.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Li, A. Q., Claes, B., Kumar, M., &amp; Found, P. (2022). Exploring the governance mechanisms for value co-creation in PSS business ecosystems.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104</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289-303.</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Liu, X. (2020). Analyzing the impact of user-generated content on B2B Firms' stock performance: Big data analysis with machine learning methods.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86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30-39.</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Liu, Y., Chen, D. Q., &amp; Gao, W. (2020). How does customer orientation (in) congruence affect B2B electronic commerce platform firms' performance?.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87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18-30.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Luo, Y. (2022). A general framework of digitization risks in international business.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344-361.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Luo, Y., &amp; Tung, R. L. (2018). A general theory of springboard MNEs.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129-152.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Luo, Y., &amp; Zhao, H. (2004). Corporate link and competitive strategy in multinational enterprises: a perspective from subsidiaries seeking host market penetration.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77-105.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Machado, C. G., Winroth, M., Almström, P., Ericson Öberg, A., Kurdve, M., &amp; AlMashalah, S. (2021). Digital organisational readiness: experiences from manufacturing companies.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Manufacturing Technology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(9), 167-182.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Malhotra, N. K., Wu, L., &amp; Whitelock, J. (2013). An updated overview of research published in the International Marketing Review: 1983 to 2011.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7-20.</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Matarazzo, M., Penco, L., Profumo, G., &amp; Quaglia, R. (2021). Digital transformation and customer value creation in Made in Italy SMEs: A dynamic capabilities perspective.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123</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642-656.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Meyer, A. D., Tsui, A. S., &amp; Hinings, C. R. (1993). Configurational approaches to organizational analysis.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Academy of Management journal</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(6), 1175-1195.</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Meyer, K. E., Li, J., Brouthers, K. D., &amp; Jean, R. J. B. (2023). International business in the digital age: Global strategies in a world of national institutions.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54</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(4), 577-598.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Mikalef, P., Boura, M., Lekakos, G., &amp; Krogstie, J. (2019). Big data analytics and firm performance: Findings from a mixed-method approach.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98</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261-276.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Miller, D. (1996). Configurations revisited.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Strategic management journal</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(7), 505-512.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Mithas, S., Tafti, A., &amp; Mitchell, W. (2013). How a firm's competitive environment and digital strategic posture influence digital business strategy.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MIS quarterly</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511-536.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Mugge, P., Abbu, H., Michaelis, T. L., Kwiatkowski, A., &amp; Gudergan, G. (2020). Patterns of digitization: A practical guide to digital transformation.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Research-Technology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(2), 27-35.</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Nambisan, S., Zahra, S. A., &amp; Luo, Y. (2019). Global platforms and ecosystems: Implications for international business theories.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1464-1486.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Park, Y., Pavlou, P. A., &amp; Saraf, N. (2020). Configurations for achieving organizational ambidexterity with digitization.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Information Systems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31</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1376-1397.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Proksch, D., Rosin, A. F., Stubner, S., &amp; Pinkwart, A. (2024). The influence of a digital strategy on the digitalization of new ventures: The mediating effect of digital capabilities and a digital culture.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small business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1-29.</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Proksch, D., Rosin, A. F., Stubner, S., &amp; Pinkwart, A. (2024). The influence of a digital strategy on the digitalization of new ventures: The mediating effect of digital capabilities and a digital culture.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small business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1-29.</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xml:space="preserve">Ragin, C. C. (2008). Measurement versus calibration: A set‐theoretic approach.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fldChar w:fldCharType="begin"/>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instrText xml:space="preserve"> HYPERLINK "https://academic.oup.com/edited-volume/28340" </w:instrTex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fldChar w:fldCharType="separate"/>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The Oxford Handbook of Political Methodology</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fldChar w:fldCharType="end"/>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Pages 174–198. Oxford.</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Ragin, C. C., Shulman, D., Weinberg, A., &amp; Gran, B. (2003). Complexity, generality, and qualitative comparative analysis.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Field Methods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323-340.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Ross, J. W., Beath, C. M., &amp; Goodhue, D. L. (1996). Develop long-term competitiveness through IT assets.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MIT Sloan Management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Sarin, S., Challagalla, G., &amp; Kohli, A. K. (2012). Implementing changes in marketing strategy: The role of perceived outcome-and process-oriented supervisory actions.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Marketing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564-580.</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Schneider, C. Q., &amp; Wagemann, C. (2010). Standards of good practice in qualitative comparative analysis (QCA) and fuzzy-sets.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Comparative sociology</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9</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(3), 397-418.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Song, M., Nason, R. W., &amp; Di Benedetto, C. A. (2008). Distinctive marketing and information technology capabilities and strategic types: A cross-national investigation.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4-38.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Sousa-Zomer, T. T., Neely, A., &amp; Martinez, V. (2020). Digital transforming capability and performance: a microfoundational perspective.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International Journal of Operations &amp; Production Management</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40</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(7/8), 1095-1128.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Sraha, G., Sharma, R. R., Crick, D., &amp; Crick, J. M. (2020). International experience, commitment, distribution adaptation and performance: a study of Ghanaian firms in B2B export markets.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&amp; Industrial Marketing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(11), 1715-1738.</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Svahn, F., Mathiassen, L., &amp; Lindgren, R. (2017). Embracing digital innovation in incumbent firms.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MIS quarterly</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41</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239-254.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Tanwar, R. (2013). Porter’s generic competitive strategies.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and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(1), 11-17.</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Toufaily, E., Zalan, T., &amp; Dhaou, S. B. (2021). A framework of blockchain technology adoption: An investigation of challenges and expected value.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Information &amp; Management</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58</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(3), 103444.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van Tulder, R., Verbeke, A., Piscitello, L., &amp; Puck, J. (2022). International business in times of crisis: What perspective to take?. In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Business in Times of Crisis: Tribute Volume to Geoffrey Jones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(Vol. 16, pp. 3-24). Emerald Publishing Limited.</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Venugopal, A., Krishnan, T. N., Upadhyayula, R. S., &amp; Kumar, M. (2020). Finding the microfoundations of organizational ambidexterity-Demystifying the role of top management behavioural integration.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1-11.</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Verbeke, A., &amp; Hutzschenreuter, T. (2021). The dark side of digital globalization.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Academy of Management Perspectives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606-621.</w:t>
      </w:r>
    </w:p>
    <w:p>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pP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Vial, G. (2021). Understanding digital transformation: A review and a research agenda. </w:t>
      </w:r>
      <w:r>
        <w:rPr>
          <w:rFonts w:hint="default" w:ascii="Times New Roman Regular" w:hAnsi="Times New Roman Regular" w:eastAsia="宋体" w:cs="Times New Roman Regular"/>
          <w:b/>
          <w:bCs/>
          <w:i/>
          <w:iCs/>
          <w:caps w:val="0"/>
          <w:color w:val="222222"/>
          <w:spacing w:val="0"/>
          <w:kern w:val="0"/>
          <w:sz w:val="20"/>
          <w:szCs w:val="20"/>
          <w:lang w:val="en-US" w:eastAsia="zh-CN" w:bidi="ar"/>
        </w:rPr>
        <w:t>Managing digital transformation</w:t>
      </w:r>
      <w:r>
        <w:rPr>
          <w:rFonts w:hint="default" w:ascii="Times New Roman Regular" w:hAnsi="Times New Roman Regular" w:eastAsia="宋体" w:cs="Times New Roman Regular"/>
          <w:b/>
          <w:bCs/>
          <w:i w:val="0"/>
          <w:iCs w:val="0"/>
          <w:caps w:val="0"/>
          <w:color w:val="222222"/>
          <w:spacing w:val="0"/>
          <w:kern w:val="0"/>
          <w:sz w:val="20"/>
          <w:szCs w:val="20"/>
          <w:lang w:val="en-US" w:eastAsia="zh-CN" w:bidi="ar"/>
        </w:rPr>
        <w:t>, 13-66.</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Wang, F. (2020). Digital marketing capabilities in international firms: a relational perspective.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37</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(3), 559-577.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Warner, K. S., &amp; Wäger, M. (2019). Building dynamic capabilities for digital transformation: An ongoing process of strategic renewal.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Long range planning</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52</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(3), 326-349.</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Woodside, A. G. (2013). Moving beyond multiple regression analysis to algorithms: Calling for adoption of a paradigm shift from symmetric to asymmetric thinking in data analysis and crafting theory.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463-472.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Woodside, A. G. (2013). Moving beyond multiple regression analysis to algorithms: Calling for adoption of a paradigm shift from symmetric to asymmetric thinking in data analysis and crafting theory.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business research</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66</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463-472.</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Zahoor, N., &amp; Lew, Y. K. (2023). Enhancing international marketing capability and export performance of emerging market SMEs in crises: strategic flexibility and digital technologies.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International Marketing Review</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40</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(5), 1158-1187.</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Zahoor, N., Golgeci, I., Haapanen, L., Ali, I., &amp; Arslan, A. (2022). The role of dynamic capabilities and strategic agility of B2B high-tech small and medium-sized enterprises during COVID-19 pandemic: Exploratory case studies from Finland.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Industrial Marketing Management</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105</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502-514.</w:t>
      </w:r>
    </w:p>
    <w:p>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auto"/>
        <w:rPr>
          <w:rFonts w:hint="default" w:ascii="Times New Roman Regular" w:hAnsi="Times New Roman Regular" w:cs="Times New Roman Regular"/>
          <w:b/>
          <w:bCs/>
          <w:sz w:val="20"/>
          <w:szCs w:val="20"/>
        </w:rPr>
      </w:pP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Zahra, S. A., Petricevic, O., &amp; Luo, Y. (2022). Toward an action-based view of dynamic capabilities for international business.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Journal of International Business Studies</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 </w:t>
      </w:r>
      <w:r>
        <w:rPr>
          <w:rFonts w:hint="default" w:ascii="Times New Roman Regular" w:hAnsi="Times New Roman Regular" w:eastAsia="宋体" w:cs="Times New Roman Regular"/>
          <w:b/>
          <w:bCs/>
          <w:i/>
          <w:iCs/>
          <w:caps w:val="0"/>
          <w:color w:val="222222"/>
          <w:spacing w:val="0"/>
          <w:kern w:val="0"/>
          <w:sz w:val="20"/>
          <w:szCs w:val="20"/>
          <w:shd w:val="clear" w:color="auto" w:fill="FFFFFF"/>
          <w:lang w:val="en-US" w:eastAsia="zh-CN" w:bidi="ar"/>
        </w:rPr>
        <w:t>53</w:t>
      </w:r>
      <w:r>
        <w:rPr>
          <w:rFonts w:hint="default" w:ascii="Times New Roman Regular" w:hAnsi="Times New Roman Regular" w:eastAsia="宋体" w:cs="Times New Roman Regular"/>
          <w:b/>
          <w:bCs/>
          <w:i w:val="0"/>
          <w:iCs w:val="0"/>
          <w:caps w:val="0"/>
          <w:color w:val="222222"/>
          <w:spacing w:val="0"/>
          <w:kern w:val="0"/>
          <w:sz w:val="20"/>
          <w:szCs w:val="20"/>
          <w:shd w:val="clear" w:color="auto" w:fill="FFFFFF"/>
          <w:lang w:val="en-US" w:eastAsia="zh-CN" w:bidi="ar"/>
        </w:rPr>
        <w:t>(4), 583-600.</w:t>
      </w:r>
    </w:p>
    <w:p>
      <w:pPr>
        <w:autoSpaceDE w:val="0"/>
        <w:autoSpaceDN w:val="0"/>
        <w:adjustRightInd w:val="0"/>
        <w:ind w:left="284" w:hanging="284"/>
        <w:jc w:val="both"/>
        <w:rPr>
          <w:rFonts w:hint="default" w:ascii="Times New Roman Regular" w:hAnsi="Times New Roman Regular" w:cs="Times New Roman Regular"/>
          <w:b/>
          <w:bCs/>
          <w:sz w:val="20"/>
          <w:szCs w:val="20"/>
        </w:rPr>
      </w:pPr>
    </w:p>
    <w:sectPr>
      <w:footerReference r:id="rId3" w:type="default"/>
      <w:footerReference r:id="rId4" w:type="even"/>
      <w:pgSz w:w="11906" w:h="16838"/>
      <w:pgMar w:top="1170" w:right="1133" w:bottom="1134" w:left="1134"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Segoe UI">
    <w:altName w:val="Helvetica Neue"/>
    <w:panose1 w:val="020B0502040204020203"/>
    <w:charset w:val="A1"/>
    <w:family w:val="swiss"/>
    <w:pitch w:val="default"/>
    <w:sig w:usb0="00000000" w:usb1="00000000" w:usb2="00000009" w:usb3="00000000" w:csb0="000001FF" w:csb1="00000000"/>
  </w:font>
  <w:font w:name="Arial Unicode MS">
    <w:panose1 w:val="020B0604020202020204"/>
    <w:charset w:val="86"/>
    <w:family w:val="roman"/>
    <w:pitch w:val="default"/>
    <w:sig w:usb0="FFFFFFFF" w:usb1="E9FFFFFF" w:usb2="0000003F" w:usb3="00000000" w:csb0="603F01FF" w:csb1="FFFF0000"/>
  </w:font>
  <w:font w:name="Tahoma">
    <w:panose1 w:val="020B0604030504040204"/>
    <w:charset w:val="00"/>
    <w:family w:val="swiss"/>
    <w:pitch w:val="default"/>
    <w:sig w:usb0="E1002AFF" w:usb1="C000605B" w:usb2="00000029" w:usb3="00000000" w:csb0="200101FF" w:csb1="2028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Times New Roman Bold">
    <w:panose1 w:val="02020503050405090304"/>
    <w:charset w:val="00"/>
    <w:family w:val="auto"/>
    <w:pitch w:val="default"/>
    <w:sig w:usb0="E0000AFF" w:usb1="00007843" w:usb2="00000001" w:usb3="00000000" w:csb0="400001BF" w:csb1="DFF70000"/>
  </w:font>
  <w:font w:name="Times New Roman Italic">
    <w:panose1 w:val="02020503050405090304"/>
    <w:charset w:val="00"/>
    <w:family w:val="auto"/>
    <w:pitch w:val="default"/>
    <w:sig w:usb0="E0000AFF" w:usb1="00007843" w:usb2="00000001" w:usb3="00000000" w:csb0="400001BF" w:csb1="DFF70000"/>
  </w:font>
  <w:font w:name="Times New Roman Regular">
    <w:panose1 w:val="02020503050405090304"/>
    <w:charset w:val="00"/>
    <w:family w:val="auto"/>
    <w:pitch w:val="default"/>
    <w:sig w:usb0="E0000AFF" w:usb1="00007843" w:usb2="00000001" w:usb3="00000000" w:csb0="400001BF" w:csb1="DFF70000"/>
  </w:font>
  <w:font w:name="helvetica">
    <w:panose1 w:val="00000000000000000000"/>
    <w:charset w:val="00"/>
    <w:family w:val="auto"/>
    <w:pitch w:val="default"/>
    <w:sig w:usb0="E00002FF" w:usb1="5000785B" w:usb2="00000000" w:usb3="00000000" w:csb0="2000019F" w:csb1="4F010000"/>
  </w:font>
  <w:font w:name="Times-Roman">
    <w:altName w:val="Times New Roman"/>
    <w:panose1 w:val="00000000000000000000"/>
    <w:charset w:val="00"/>
    <w:family w:val="auto"/>
    <w:pitch w:val="default"/>
    <w:sig w:usb0="00000000" w:usb1="00000000" w:usb2="00000000" w:usb3="00000000" w:csb0="00040001" w:csb1="00000000"/>
  </w:font>
  <w:font w:name="Times Bold">
    <w:altName w:val="Times New Roman"/>
    <w:panose1 w:val="00000000000000000000"/>
    <w:charset w:val="00"/>
    <w:family w:val="auto"/>
    <w:pitch w:val="default"/>
    <w:sig w:usb0="00000000" w:usb1="00000000" w:usb2="00000000" w:usb3="00000000" w:csb0="00040001" w:csb1="0000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right" w:y="1"/>
      <w:rPr>
        <w:rStyle w:val="16"/>
      </w:rPr>
    </w:pPr>
    <w:r>
      <w:rPr>
        <w:rStyle w:val="16"/>
      </w:rPr>
      <w:fldChar w:fldCharType="begin"/>
    </w:r>
    <w:r>
      <w:rPr>
        <w:rStyle w:val="16"/>
      </w:rPr>
      <w:instrText xml:space="preserve">PAGE  </w:instrText>
    </w:r>
    <w:r>
      <w:rPr>
        <w:rStyle w:val="16"/>
      </w:rPr>
      <w:fldChar w:fldCharType="end"/>
    </w:r>
  </w:p>
  <w:p>
    <w:pPr>
      <w:pStyle w:val="9"/>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3FBCF6"/>
    <w:multiLevelType w:val="multilevel"/>
    <w:tmpl w:val="D63FBCF6"/>
    <w:lvl w:ilvl="0" w:tentative="0">
      <w:start w:val="1"/>
      <w:numFmt w:val="decimal"/>
      <w:suff w:val="space"/>
      <w:lvlText w:val="%1."/>
      <w:lvlJc w:val="left"/>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023E2E4D"/>
    <w:multiLevelType w:val="multilevel"/>
    <w:tmpl w:val="023E2E4D"/>
    <w:lvl w:ilvl="0" w:tentative="0">
      <w:start w:val="1"/>
      <w:numFmt w:val="upperRoman"/>
      <w:pStyle w:val="23"/>
      <w:lvlText w:val="%1."/>
      <w:lvlJc w:val="left"/>
      <w:pPr>
        <w:tabs>
          <w:tab w:val="left" w:pos="288"/>
        </w:tabs>
        <w:ind w:left="288" w:hanging="288"/>
      </w:pPr>
      <w:rPr>
        <w:rFonts w:hint="default" w:ascii="Times New Roman" w:hAnsi="Times New Roman" w:eastAsia="Arial Unicode MS" w:cs="Times New Roman"/>
        <w:b w:val="0"/>
        <w:bCs w:val="0"/>
        <w:i w:val="0"/>
        <w:iCs w:val="0"/>
        <w:caps/>
        <w:strike w:val="0"/>
        <w:dstrike w:val="0"/>
        <w:outline w:val="0"/>
        <w:shadow w:val="0"/>
        <w:emboss w:val="0"/>
        <w:imprint w:val="0"/>
        <w:vanish w:val="0"/>
        <w:color w:val="000000"/>
        <w:spacing w:val="0"/>
        <w:kern w:val="0"/>
        <w:position w:val="0"/>
        <w:sz w:val="20"/>
        <w:szCs w:val="20"/>
        <w:u w:val="none"/>
        <w:vertAlign w:val="baseline"/>
      </w:rPr>
    </w:lvl>
    <w:lvl w:ilvl="1" w:tentative="0">
      <w:start w:val="1"/>
      <w:numFmt w:val="upperLetter"/>
      <w:lvlText w:val="%2."/>
      <w:lvlJc w:val="left"/>
      <w:pPr>
        <w:tabs>
          <w:tab w:val="left" w:pos="288"/>
        </w:tabs>
        <w:ind w:left="288" w:hanging="288"/>
      </w:pPr>
      <w:rPr>
        <w:rFonts w:hint="default" w:ascii="Times New Roman" w:hAnsi="Times New Roman"/>
        <w:b w:val="0"/>
        <w:i w:val="0"/>
        <w:sz w:val="20"/>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864"/>
        </w:tabs>
        <w:ind w:left="864" w:hanging="864"/>
      </w:pPr>
      <w:rPr>
        <w:rFonts w:hint="default"/>
      </w:rPr>
    </w:lvl>
    <w:lvl w:ilvl="4" w:tentative="0">
      <w:start w:val="1"/>
      <w:numFmt w:val="decimal"/>
      <w:lvlText w:val="%1.%2.%3.%4.%5"/>
      <w:lvlJc w:val="left"/>
      <w:pPr>
        <w:tabs>
          <w:tab w:val="left" w:pos="1008"/>
        </w:tabs>
        <w:ind w:left="1008" w:hanging="1008"/>
      </w:pPr>
      <w:rPr>
        <w:rFonts w:hint="default"/>
      </w:rPr>
    </w:lvl>
    <w:lvl w:ilvl="5" w:tentative="0">
      <w:start w:val="1"/>
      <w:numFmt w:val="decimal"/>
      <w:lvlText w:val="%1.%2.%3.%4.%5.%6"/>
      <w:lvlJc w:val="left"/>
      <w:pPr>
        <w:tabs>
          <w:tab w:val="left" w:pos="1152"/>
        </w:tabs>
        <w:ind w:left="1152" w:hanging="1152"/>
      </w:pPr>
      <w:rPr>
        <w:rFonts w:hint="default"/>
      </w:rPr>
    </w:lvl>
    <w:lvl w:ilvl="6" w:tentative="0">
      <w:start w:val="1"/>
      <w:numFmt w:val="decimal"/>
      <w:lvlText w:val="%1.%2.%3.%4.%5.%6.%7"/>
      <w:lvlJc w:val="left"/>
      <w:pPr>
        <w:tabs>
          <w:tab w:val="left" w:pos="1296"/>
        </w:tabs>
        <w:ind w:left="1296" w:hanging="1296"/>
      </w:pPr>
      <w:rPr>
        <w:rFonts w:hint="default"/>
      </w:rPr>
    </w:lvl>
    <w:lvl w:ilvl="7" w:tentative="0">
      <w:start w:val="1"/>
      <w:numFmt w:val="decimal"/>
      <w:lvlText w:val="%1.%2.%3.%4.%5.%6.%7.%8"/>
      <w:lvlJc w:val="left"/>
      <w:pPr>
        <w:tabs>
          <w:tab w:val="left" w:pos="1440"/>
        </w:tabs>
        <w:ind w:left="1440" w:hanging="1440"/>
      </w:pPr>
      <w:rPr>
        <w:rFonts w:hint="default"/>
      </w:rPr>
    </w:lvl>
    <w:lvl w:ilvl="8" w:tentative="0">
      <w:start w:val="1"/>
      <w:numFmt w:val="decimal"/>
      <w:lvlText w:val="%1.%2.%3.%4.%5.%6.%7.%8.%9"/>
      <w:lvlJc w:val="left"/>
      <w:pPr>
        <w:tabs>
          <w:tab w:val="left" w:pos="1584"/>
        </w:tabs>
        <w:ind w:left="1584" w:hanging="1584"/>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9"/>
  <w:doNotDisplayPageBoundaries w:val="1"/>
  <w:documentProtection w:enforcement="0"/>
  <w:defaultTabStop w:val="720"/>
  <w:noPunctuationKerning w:val="1"/>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EAE"/>
    <w:rsid w:val="00132DC2"/>
    <w:rsid w:val="00143A7C"/>
    <w:rsid w:val="00152EAE"/>
    <w:rsid w:val="001F57EA"/>
    <w:rsid w:val="00201B74"/>
    <w:rsid w:val="00205320"/>
    <w:rsid w:val="002138FD"/>
    <w:rsid w:val="002C0DD4"/>
    <w:rsid w:val="002F77A3"/>
    <w:rsid w:val="0034020D"/>
    <w:rsid w:val="00380B9F"/>
    <w:rsid w:val="00385ECB"/>
    <w:rsid w:val="003A4A15"/>
    <w:rsid w:val="003B0D45"/>
    <w:rsid w:val="003D22B8"/>
    <w:rsid w:val="004A0286"/>
    <w:rsid w:val="004C4E49"/>
    <w:rsid w:val="004C70A1"/>
    <w:rsid w:val="004E0331"/>
    <w:rsid w:val="004E285C"/>
    <w:rsid w:val="004E4518"/>
    <w:rsid w:val="0050402D"/>
    <w:rsid w:val="0051428A"/>
    <w:rsid w:val="00562662"/>
    <w:rsid w:val="005D2E68"/>
    <w:rsid w:val="00656A92"/>
    <w:rsid w:val="00673C39"/>
    <w:rsid w:val="006A4729"/>
    <w:rsid w:val="006C6819"/>
    <w:rsid w:val="006F7FAE"/>
    <w:rsid w:val="00710FB6"/>
    <w:rsid w:val="007D0603"/>
    <w:rsid w:val="007D67CB"/>
    <w:rsid w:val="007E04D8"/>
    <w:rsid w:val="007F31BD"/>
    <w:rsid w:val="00813F19"/>
    <w:rsid w:val="00827626"/>
    <w:rsid w:val="00854454"/>
    <w:rsid w:val="008C00E6"/>
    <w:rsid w:val="008F4A7A"/>
    <w:rsid w:val="009331A6"/>
    <w:rsid w:val="00953F72"/>
    <w:rsid w:val="00A12C54"/>
    <w:rsid w:val="00A253B9"/>
    <w:rsid w:val="00A91FB0"/>
    <w:rsid w:val="00B15C15"/>
    <w:rsid w:val="00B3180D"/>
    <w:rsid w:val="00B56583"/>
    <w:rsid w:val="00B6705D"/>
    <w:rsid w:val="00B97881"/>
    <w:rsid w:val="00BD4B74"/>
    <w:rsid w:val="00CD3246"/>
    <w:rsid w:val="00CD4C6D"/>
    <w:rsid w:val="00CF690A"/>
    <w:rsid w:val="00D044BB"/>
    <w:rsid w:val="00D56D45"/>
    <w:rsid w:val="00DC7D85"/>
    <w:rsid w:val="00E37102"/>
    <w:rsid w:val="00E73113"/>
    <w:rsid w:val="00E74E8A"/>
    <w:rsid w:val="00EA58D4"/>
    <w:rsid w:val="00F148D8"/>
    <w:rsid w:val="00F42656"/>
    <w:rsid w:val="00F96C74"/>
    <w:rsid w:val="00FB452A"/>
    <w:rsid w:val="ADF48D0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GB" w:eastAsia="en-US" w:bidi="ar-SA"/>
    </w:rPr>
  </w:style>
  <w:style w:type="paragraph" w:styleId="2">
    <w:name w:val="heading 1"/>
    <w:basedOn w:val="1"/>
    <w:next w:val="1"/>
    <w:qFormat/>
    <w:uiPriority w:val="0"/>
    <w:pPr>
      <w:keepNext/>
      <w:jc w:val="both"/>
      <w:outlineLvl w:val="0"/>
    </w:pPr>
    <w:rPr>
      <w:b/>
      <w:bCs/>
      <w:lang w:val="en-US"/>
    </w:rPr>
  </w:style>
  <w:style w:type="paragraph" w:styleId="3">
    <w:name w:val="heading 2"/>
    <w:basedOn w:val="1"/>
    <w:next w:val="1"/>
    <w:qFormat/>
    <w:uiPriority w:val="0"/>
    <w:pPr>
      <w:keepNext/>
      <w:spacing w:line="300" w:lineRule="exact"/>
      <w:jc w:val="both"/>
      <w:outlineLvl w:val="1"/>
    </w:pPr>
    <w:rPr>
      <w:b/>
      <w:bCs/>
      <w:sz w:val="20"/>
      <w:lang w:val="en-US"/>
    </w:rPr>
  </w:style>
  <w:style w:type="character" w:default="1" w:styleId="15">
    <w:name w:val="Default Paragraph Font"/>
    <w:semiHidden/>
    <w:unhideWhenUsed/>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qFormat/>
    <w:uiPriority w:val="0"/>
    <w:pPr>
      <w:spacing w:before="120" w:after="120"/>
    </w:pPr>
    <w:rPr>
      <w:b/>
      <w:bCs/>
      <w:sz w:val="20"/>
      <w:szCs w:val="20"/>
    </w:rPr>
  </w:style>
  <w:style w:type="paragraph" w:styleId="5">
    <w:name w:val="Body Text"/>
    <w:basedOn w:val="1"/>
    <w:uiPriority w:val="0"/>
    <w:pPr>
      <w:jc w:val="both"/>
    </w:pPr>
    <w:rPr>
      <w:lang w:val="en-US"/>
    </w:rPr>
  </w:style>
  <w:style w:type="paragraph" w:styleId="6">
    <w:name w:val="Body Text Indent"/>
    <w:basedOn w:val="1"/>
    <w:uiPriority w:val="0"/>
    <w:pPr>
      <w:ind w:firstLine="284"/>
      <w:jc w:val="both"/>
    </w:pPr>
  </w:style>
  <w:style w:type="paragraph" w:styleId="7">
    <w:name w:val="Body Text Indent 2"/>
    <w:basedOn w:val="1"/>
    <w:uiPriority w:val="0"/>
    <w:pPr>
      <w:ind w:left="284" w:hanging="284"/>
      <w:jc w:val="both"/>
    </w:pPr>
    <w:rPr>
      <w:szCs w:val="16"/>
    </w:rPr>
  </w:style>
  <w:style w:type="paragraph" w:styleId="8">
    <w:name w:val="Balloon Text"/>
    <w:basedOn w:val="1"/>
    <w:link w:val="25"/>
    <w:uiPriority w:val="0"/>
    <w:rPr>
      <w:rFonts w:ascii="Tahoma" w:hAnsi="Tahoma" w:cs="Tahoma"/>
      <w:sz w:val="16"/>
      <w:szCs w:val="16"/>
    </w:rPr>
  </w:style>
  <w:style w:type="paragraph" w:styleId="9">
    <w:name w:val="footer"/>
    <w:basedOn w:val="1"/>
    <w:uiPriority w:val="0"/>
    <w:pPr>
      <w:tabs>
        <w:tab w:val="center" w:pos="4153"/>
        <w:tab w:val="right" w:pos="8306"/>
      </w:tabs>
    </w:pPr>
  </w:style>
  <w:style w:type="paragraph" w:styleId="10">
    <w:name w:val="header"/>
    <w:basedOn w:val="1"/>
    <w:uiPriority w:val="0"/>
    <w:pPr>
      <w:tabs>
        <w:tab w:val="center" w:pos="4153"/>
        <w:tab w:val="right" w:pos="8306"/>
      </w:tabs>
    </w:pPr>
  </w:style>
  <w:style w:type="paragraph" w:styleId="11">
    <w:name w:val="Subtitle"/>
    <w:basedOn w:val="1"/>
    <w:qFormat/>
    <w:uiPriority w:val="0"/>
    <w:rPr>
      <w:b/>
      <w:bCs/>
      <w:lang w:val="en-US"/>
    </w:rPr>
  </w:style>
  <w:style w:type="paragraph" w:styleId="12">
    <w:name w:val="Body Text 2"/>
    <w:basedOn w:val="1"/>
    <w:uiPriority w:val="0"/>
    <w:pPr>
      <w:jc w:val="both"/>
    </w:pPr>
    <w:rPr>
      <w:color w:val="FF0000"/>
      <w:lang w:val="en-US"/>
    </w:rPr>
  </w:style>
  <w:style w:type="paragraph" w:styleId="13">
    <w:name w:val="Title"/>
    <w:basedOn w:val="1"/>
    <w:qFormat/>
    <w:uiPriority w:val="0"/>
    <w:pPr>
      <w:jc w:val="center"/>
    </w:pPr>
    <w:rPr>
      <w:b/>
      <w:bCs/>
      <w:lang w:val="en-US"/>
    </w:rPr>
  </w:style>
  <w:style w:type="character" w:styleId="16">
    <w:name w:val="page number"/>
    <w:basedOn w:val="15"/>
    <w:uiPriority w:val="0"/>
  </w:style>
  <w:style w:type="character" w:styleId="17">
    <w:name w:val="Emphasis"/>
    <w:qFormat/>
    <w:uiPriority w:val="20"/>
    <w:rPr>
      <w:i/>
      <w:iCs/>
    </w:rPr>
  </w:style>
  <w:style w:type="character" w:styleId="18">
    <w:name w:val="Hyperlink"/>
    <w:basedOn w:val="15"/>
    <w:uiPriority w:val="0"/>
    <w:rPr>
      <w:color w:val="0000FF"/>
      <w:u w:val="single"/>
    </w:rPr>
  </w:style>
  <w:style w:type="paragraph" w:customStyle="1" w:styleId="19">
    <w:name w:val="Κείμ.Εκδ.ΤΕΕ"/>
    <w:basedOn w:val="1"/>
    <w:uiPriority w:val="0"/>
    <w:pPr>
      <w:tabs>
        <w:tab w:val="left" w:pos="227"/>
      </w:tabs>
      <w:spacing w:line="300" w:lineRule="exact"/>
      <w:ind w:firstLine="227"/>
      <w:jc w:val="both"/>
    </w:pPr>
    <w:rPr>
      <w:sz w:val="20"/>
      <w:szCs w:val="20"/>
    </w:rPr>
  </w:style>
  <w:style w:type="paragraph" w:customStyle="1" w:styleId="20">
    <w:name w:val="Paper Affliation"/>
    <w:next w:val="1"/>
    <w:uiPriority w:val="0"/>
    <w:pPr>
      <w:widowControl w:val="0"/>
      <w:outlineLvl w:val="1"/>
    </w:pPr>
    <w:rPr>
      <w:rFonts w:ascii="Times New Roman" w:hAnsi="Times New Roman" w:eastAsia="Times New Roman" w:cs="Times New Roman"/>
      <w:i/>
      <w:sz w:val="22"/>
      <w:lang w:val="en-GB" w:eastAsia="en-US" w:bidi="ar-SA"/>
    </w:rPr>
  </w:style>
  <w:style w:type="paragraph" w:styleId="21">
    <w:name w:val="List Paragraph"/>
    <w:basedOn w:val="1"/>
    <w:qFormat/>
    <w:uiPriority w:val="34"/>
    <w:pPr>
      <w:spacing w:after="120"/>
      <w:ind w:left="720"/>
      <w:contextualSpacing/>
      <w:jc w:val="both"/>
    </w:pPr>
    <w:rPr>
      <w:rFonts w:ascii="Segoe UI" w:hAnsi="Segoe UI" w:eastAsia="Calibri" w:cs="Segoe UI"/>
      <w:sz w:val="20"/>
      <w:szCs w:val="22"/>
    </w:rPr>
  </w:style>
  <w:style w:type="paragraph" w:customStyle="1" w:styleId="22">
    <w:name w:val="IEEE Paragraph"/>
    <w:basedOn w:val="1"/>
    <w:link w:val="24"/>
    <w:uiPriority w:val="0"/>
    <w:pPr>
      <w:adjustRightInd w:val="0"/>
      <w:snapToGrid w:val="0"/>
      <w:ind w:firstLine="216"/>
      <w:jc w:val="both"/>
    </w:pPr>
    <w:rPr>
      <w:rFonts w:eastAsia="宋体"/>
      <w:sz w:val="20"/>
      <w:lang w:val="en-AU" w:eastAsia="zh-CN"/>
    </w:rPr>
  </w:style>
  <w:style w:type="paragraph" w:customStyle="1" w:styleId="23">
    <w:name w:val="IEEE Heading 1"/>
    <w:basedOn w:val="1"/>
    <w:next w:val="22"/>
    <w:uiPriority w:val="0"/>
    <w:pPr>
      <w:numPr>
        <w:ilvl w:val="0"/>
        <w:numId w:val="1"/>
      </w:numPr>
      <w:adjustRightInd w:val="0"/>
      <w:snapToGrid w:val="0"/>
      <w:spacing w:before="180" w:after="60"/>
      <w:ind w:left="289" w:hanging="289"/>
      <w:jc w:val="center"/>
    </w:pPr>
    <w:rPr>
      <w:rFonts w:eastAsia="宋体"/>
      <w:smallCaps/>
      <w:sz w:val="20"/>
      <w:lang w:val="en-AU" w:eastAsia="zh-CN"/>
    </w:rPr>
  </w:style>
  <w:style w:type="character" w:customStyle="1" w:styleId="24">
    <w:name w:val="IEEE Paragraph Char"/>
    <w:link w:val="22"/>
    <w:uiPriority w:val="0"/>
    <w:rPr>
      <w:rFonts w:eastAsia="宋体"/>
      <w:szCs w:val="24"/>
      <w:lang w:val="en-AU" w:eastAsia="zh-CN"/>
    </w:rPr>
  </w:style>
  <w:style w:type="character" w:customStyle="1" w:styleId="25">
    <w:name w:val="Balloon Text Char"/>
    <w:basedOn w:val="15"/>
    <w:link w:val="8"/>
    <w:uiPriority w:val="0"/>
    <w:rPr>
      <w:rFonts w:ascii="Tahoma" w:hAnsi="Tahoma" w:cs="Tahoma"/>
      <w:sz w:val="16"/>
      <w:szCs w:val="16"/>
      <w:lang w:eastAsia="en-US"/>
    </w:rPr>
  </w:style>
  <w:style w:type="paragraph" w:customStyle="1" w:styleId="26">
    <w:name w:val="p1"/>
    <w:basedOn w:val="1"/>
    <w:uiPriority w:val="0"/>
    <w:pPr>
      <w:spacing w:before="0" w:beforeAutospacing="0" w:after="0" w:afterAutospacing="0"/>
      <w:ind w:left="0" w:right="0"/>
      <w:jc w:val="left"/>
    </w:pPr>
    <w:rPr>
      <w:rFonts w:ascii="helvetica" w:hAnsi="helvetica" w:eastAsia="helvetica" w:cs="helvetica"/>
      <w:kern w:val="0"/>
      <w:sz w:val="24"/>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Company>
  <Pages>7</Pages>
  <Words>108</Words>
  <Characters>616</Characters>
  <Lines>5</Lines>
  <Paragraphs>1</Paragraphs>
  <TotalTime>2</TotalTime>
  <ScaleCrop>false</ScaleCrop>
  <LinksUpToDate>false</LinksUpToDate>
  <CharactersWithSpaces>723</CharactersWithSpaces>
  <Application>WPS Office_6.6.1.8808_F1E327BC-269C-435d-A152-05C5408002CA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2018-09-06T13:28:00Z</dcterms:created>
  <dc:creator>CEMEPE Secretariat</dc:creator>
  <cp:lastModifiedBy>Nuo Wang</cp:lastModifiedBy>
  <cp:lastPrinted>2004-09-22T13:03:00Z</cp:lastPrinted>
  <dcterms:modified xsi:type="dcterms:W3CDTF">2024-05-16T21:37:36Z</dcterms:modified>
  <dc:title>Interactive toxic effects of heavy metals and humic acids on Vibrio ficheri</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2052-6.6.1.8808</vt:lpwstr>
  </property>
  <property fmtid="{D5CDD505-2E9C-101B-9397-08002B2CF9AE}" pid="3" name="ICV">
    <vt:lpwstr>28674EE70191BB9D806046663D74C1F6_42</vt:lpwstr>
  </property>
</Properties>
</file>