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702C29">
      <w:pPr>
        <w:pStyle w:val="48"/>
        <w:rPr>
          <w:rFonts w:ascii="MHEupperelemsans" w:hAnsi="MHEupperelemsans"/>
        </w:rPr>
      </w:pPr>
      <w:r>
        <w:rPr>
          <w:rFonts w:ascii="MHEupperelemsans" w:hAnsi="MHEupperelemsans"/>
        </w:rPr>
        <w:t>1</w:t>
      </w:r>
    </w:p>
    <w:p w14:paraId="125F5EF3">
      <w:pPr>
        <w:pStyle w:val="49"/>
        <w:spacing w:after="0"/>
        <w:rPr>
          <w:rFonts w:ascii="MHEUpperelemensans" w:hAnsi="MHEUpperelemensans"/>
          <w:lang w:val="en-US" w:eastAsia="zh-CN"/>
        </w:rPr>
      </w:pPr>
      <w:r>
        <w:rPr>
          <w:rFonts w:ascii="MHEUpperelemensans" w:hAnsi="MHEUpperelemensans"/>
          <w:lang w:val="en-US" w:eastAsia="zh-CN"/>
        </w:rPr>
        <w:t>The Impact of Live-St</w:t>
      </w:r>
      <w:r>
        <w:rPr>
          <w:rFonts w:ascii="MHEupperelemsans" w:hAnsi="MHEupperelemsans"/>
          <w:lang w:val="en-US" w:eastAsia="zh-CN"/>
        </w:rPr>
        <w:t>reaming Anchors' Facial Expressions on Sales Performance: An AI-Driven Analysis in China's E-commerce Landscap</w:t>
      </w:r>
      <w:r>
        <w:rPr>
          <w:rFonts w:ascii="MHEUpperelemensans" w:hAnsi="MHEUpperelemensans"/>
          <w:lang w:val="en-US" w:eastAsia="zh-CN"/>
        </w:rPr>
        <w:t>e</w:t>
      </w:r>
    </w:p>
    <w:p w14:paraId="154C08AF">
      <w:pPr>
        <w:spacing w:before="120" w:after="1880"/>
        <w:rPr>
          <w:rFonts w:hint="default" w:ascii="SRA Serif 1.1" w:hAnsi="SRA Serif 1.1"/>
          <w:lang w:val="en-US"/>
        </w:rPr>
      </w:pPr>
      <w:r>
        <w:rPr>
          <w:rFonts w:hint="default" w:ascii="SRA Serif 1.1" w:hAnsi="SRA Serif 1.1"/>
          <w:lang w:val="en-US"/>
        </w:rPr>
        <w:t>Nuo WANG</w:t>
      </w:r>
    </w:p>
    <w:p w14:paraId="472A3B19">
      <w:pPr>
        <w:pBdr>
          <w:top w:val="single" w:color="auto" w:sz="4" w:space="1"/>
          <w:left w:val="single" w:color="auto" w:sz="4" w:space="4"/>
          <w:bottom w:val="single" w:color="auto" w:sz="4" w:space="1"/>
          <w:right w:val="single" w:color="auto" w:sz="4" w:space="4"/>
        </w:pBdr>
        <w:ind w:left="142" w:right="169"/>
        <w:jc w:val="both"/>
        <w:rPr>
          <w:rFonts w:ascii="MHEupperelemsans" w:hAnsi="MHEupperelemsans"/>
          <w:sz w:val="18"/>
          <w:szCs w:val="18"/>
          <w:lang w:val="it-IT"/>
        </w:rPr>
      </w:pPr>
      <w:r>
        <w:rPr>
          <w:rFonts w:ascii="MHEupperelemsans" w:hAnsi="MHEupperelemsans"/>
          <w:sz w:val="18"/>
          <w:szCs w:val="18"/>
          <w:lang w:val="en-US" w:eastAsia="zh-CN"/>
        </w:rPr>
        <w:t>The rapid growth of live-streaming commerce in China has transformed online shopping by combining entertainment with real-time purchasing. In this interactive environment, the role of live-streaming anchors has expanded beyond product demonstrations to deeply influence consumer behavior. This study explores the relationship between anchors' facial expressions and sales performance, moving beyond the limited classification of 6-10 facial expressions in current research. Integrating recent findings from behavioral science and AI-driven deep learning, the study uses a 28-expression taxonomy (Brooks et al., 2024), validated in cross-cultural psychology. Grounded in signaling and emotional contagion theories, the research applies AI-powered algorithms to analyze facial expressions across 1,500 data points from major platforms. The aim is to understand how emotional displays influence consumer engagement, purchasing behavior, and time efficiency in live-streaming environments. The findings will contribute to theory by expanding facial expression classifications in marketing and enhancing emotional analysis in digital commerce. Practically, the study shows how anchors can leverage emotional expressions to connect with consumers and influence purchase decisions and engagement. It also highlights the evolving anchor-consumer dynamics in live-streaming commerce, an underexplored area, and presents a novel application of AI to refine live-streaming sales strategies.</w:t>
      </w:r>
    </w:p>
    <w:p w14:paraId="63AE4D3D">
      <w:pPr>
        <w:suppressAutoHyphens/>
        <w:autoSpaceDE w:val="0"/>
        <w:jc w:val="both"/>
        <w:rPr>
          <w:rFonts w:hint="default" w:ascii="MHEupperelemsans" w:hAnsi="MHEupperelemsans"/>
          <w:sz w:val="18"/>
          <w:szCs w:val="18"/>
          <w:lang w:val="en-US"/>
        </w:rPr>
      </w:pPr>
      <w:r>
        <w:rPr>
          <w:rFonts w:hint="default" w:ascii="MHEupperelemsans" w:hAnsi="MHEupperelemsans"/>
          <w:sz w:val="18"/>
          <w:szCs w:val="18"/>
          <w:lang w:val="en-US"/>
        </w:rPr>
        <w:t>Research objectives</w:t>
      </w:r>
    </w:p>
    <w:p w14:paraId="66DB3600">
      <w:pPr>
        <w:numPr>
          <w:ilvl w:val="0"/>
          <w:numId w:val="10"/>
        </w:numPr>
        <w:pBdr>
          <w:top w:val="single" w:color="111111" w:sz="12" w:space="1"/>
          <w:bottom w:val="single" w:color="111111" w:sz="12" w:space="1"/>
        </w:pBdr>
        <w:suppressAutoHyphens/>
        <w:autoSpaceDE w:val="0"/>
        <w:jc w:val="both"/>
        <w:rPr>
          <w:rFonts w:ascii="MHEupperelemsans" w:hAnsi="MHEupperelemsans"/>
          <w:sz w:val="18"/>
          <w:szCs w:val="18"/>
          <w:lang w:val="it-IT"/>
        </w:rPr>
      </w:pPr>
      <w:r>
        <w:rPr>
          <w:rFonts w:hint="default" w:ascii="MHEupperelemsans" w:hAnsi="MHEupperelemsans"/>
          <w:sz w:val="18"/>
          <w:szCs w:val="18"/>
          <w:lang w:val="en-US"/>
        </w:rPr>
        <w:t xml:space="preserve">To examine </w:t>
      </w:r>
      <w:r>
        <w:rPr>
          <w:rFonts w:ascii="MHEupperelemsans" w:hAnsi="MHEupperelemsans"/>
          <w:sz w:val="18"/>
          <w:szCs w:val="18"/>
          <w:lang w:val="it-IT"/>
        </w:rPr>
        <w:t>the relationship between live-streaming anchors' facial expressions and consumer sales performance during live-streaming sessions.</w:t>
      </w:r>
    </w:p>
    <w:p w14:paraId="33DAE15D">
      <w:pPr>
        <w:numPr>
          <w:ilvl w:val="0"/>
          <w:numId w:val="10"/>
        </w:numPr>
        <w:pBdr>
          <w:top w:val="single" w:color="111111" w:sz="12" w:space="1"/>
          <w:bottom w:val="single" w:color="111111" w:sz="12" w:space="1"/>
        </w:pBdr>
        <w:suppressAutoHyphens/>
        <w:autoSpaceDE w:val="0"/>
        <w:jc w:val="both"/>
        <w:rPr>
          <w:rFonts w:ascii="MHEupperelemsans" w:hAnsi="MHEupperelemsans"/>
          <w:sz w:val="18"/>
          <w:szCs w:val="18"/>
          <w:lang w:val="it-IT"/>
        </w:rPr>
      </w:pPr>
      <w:r>
        <w:rPr>
          <w:rFonts w:ascii="MHEupperelemsans" w:hAnsi="MHEupperelemsans"/>
          <w:sz w:val="18"/>
          <w:szCs w:val="18"/>
          <w:lang w:val="it-IT"/>
        </w:rPr>
        <w:t>To apply and extend the facial expression taxonomy to the field of e-commerce, enriching the theoretical understanding of emotional contagion in digital marketing.</w:t>
      </w:r>
    </w:p>
    <w:p w14:paraId="55CAF2DA">
      <w:pPr>
        <w:numPr>
          <w:ilvl w:val="0"/>
          <w:numId w:val="10"/>
        </w:numPr>
        <w:pBdr>
          <w:top w:val="single" w:color="111111" w:sz="12" w:space="1"/>
          <w:bottom w:val="single" w:color="111111" w:sz="12" w:space="1"/>
        </w:pBdr>
        <w:suppressAutoHyphens/>
        <w:autoSpaceDE w:val="0"/>
        <w:jc w:val="both"/>
        <w:rPr>
          <w:rFonts w:ascii="MHEupperelemsans" w:hAnsi="MHEupperelemsans"/>
          <w:sz w:val="18"/>
          <w:szCs w:val="18"/>
          <w:lang w:val="it-IT"/>
        </w:rPr>
      </w:pPr>
      <w:r>
        <w:rPr>
          <w:rFonts w:ascii="MHEupperelemsans" w:hAnsi="MHEupperelemsans"/>
          <w:sz w:val="18"/>
          <w:szCs w:val="18"/>
          <w:lang w:val="it-IT"/>
        </w:rPr>
        <w:t>To develop data-driven insights for live-streaming anchors to leverage facial expressions strategically to optimize consumer engagement and purchasing behavior.</w:t>
      </w:r>
    </w:p>
    <w:p w14:paraId="104513A4">
      <w:pPr>
        <w:pStyle w:val="2"/>
        <w:numPr>
          <w:ilvl w:val="0"/>
          <w:numId w:val="0"/>
        </w:numPr>
        <w:jc w:val="both"/>
        <w:rPr>
          <w:rFonts w:hint="default" w:ascii="MHEupperelemsans" w:hAnsi="MHEupperelemsans"/>
          <w:lang w:val="en-US"/>
        </w:rPr>
      </w:pPr>
      <w:r>
        <w:rPr>
          <w:rFonts w:ascii="MHEupperelemsans" w:hAnsi="MHEupperelemsans"/>
          <w:lang w:val="it-IT"/>
        </w:rPr>
        <w:t>1.1</w:t>
      </w:r>
      <w:r>
        <w:rPr>
          <w:rFonts w:ascii="MHEupperelemsans" w:hAnsi="MHEupperelemsans"/>
          <w:lang w:val="it-IT"/>
        </w:rPr>
        <w:tab/>
      </w:r>
      <w:r>
        <w:rPr>
          <w:rFonts w:hint="default" w:ascii="MHEupperelemsans" w:hAnsi="MHEupperelemsans"/>
          <w:lang w:val="en-US"/>
        </w:rPr>
        <w:t>Research background</w:t>
      </w:r>
    </w:p>
    <w:p w14:paraId="759EADDB">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default" w:ascii="SRA Serif 1.1" w:hAnsi="SRA Serif 1.1" w:eastAsiaTheme="minorHAnsi" w:cstheme="minorBidi"/>
          <w:color w:val="auto"/>
          <w:kern w:val="2"/>
          <w:sz w:val="22"/>
          <w:szCs w:val="22"/>
          <w:lang w:val="en-US" w:eastAsia="zh-CN" w:bidi="ar-SA"/>
        </w:rPr>
        <w:t>Human facial expressions convey important non-verbal messages and have been widely debated in psychology and neuroscience. While Ekman’s (1993) classification of facial expressions and emotions has been influential, researchers have challenged this model for over two decades, emphasizing factors such as culture, gender, and age in shaping facial expressions. Studies have shown that cultural differences influence emotional intensity representation, with East Asian models focusing on the eyes and Western Caucasian models on other facial features (Jack et al., 2012). Gender differences are more consistent, with females generally being more expressive, particularly in positive emotional states (Kring &amp; Gordon, 1998). Age-related differences in facial expressions are less clear, with some studies suggesting older individuals display more mixed expressions, while others find no significant differences.</w:t>
      </w:r>
    </w:p>
    <w:p w14:paraId="65E3875B">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default" w:ascii="SRA Serif 1.1" w:hAnsi="SRA Serif 1.1" w:eastAsiaTheme="minorHAnsi" w:cstheme="minorBidi"/>
          <w:color w:val="auto"/>
          <w:kern w:val="2"/>
          <w:sz w:val="22"/>
          <w:szCs w:val="22"/>
          <w:lang w:val="en-US" w:eastAsia="zh-CN" w:bidi="ar-SA"/>
        </w:rPr>
        <w:t>China’s live-streaming e-commerce industry surpassed 4.9 trillion RMB in 2023, benefiting from low entry barriers, high interactivity, and conversion rates 30% higher than traditional platforms. This growth is supported by advances in internet infrastructure, including widespread smartphone use, 5G networks, and reduced data costs. Traditional e-commerce also provides a strong operational foundation. However, challenges have emerged, and regulations are evolving to ensure compliance and standardization. This study explores consumer engagement through facial expressions, leveraging AI recognition technology for large-scale, accurate identification and reviewing recent advancements in facial expression categorization.</w:t>
      </w:r>
    </w:p>
    <w:p w14:paraId="7C164A2C">
      <w:pPr>
        <w:pStyle w:val="3"/>
        <w:numPr>
          <w:ilvl w:val="2"/>
          <w:numId w:val="11"/>
        </w:numPr>
        <w:tabs>
          <w:tab w:val="clear" w:pos="312"/>
        </w:tabs>
        <w:jc w:val="both"/>
        <w:rPr>
          <w:rFonts w:hint="default" w:ascii="MHEupperelemsans" w:hAnsi="MHEupperelemsans"/>
          <w:lang w:val="en-US"/>
        </w:rPr>
      </w:pPr>
      <w:r>
        <w:rPr>
          <w:rFonts w:hint="default" w:ascii="MHEupperelemsans" w:hAnsi="MHEupperelemsans"/>
          <w:lang w:val="en-US"/>
        </w:rPr>
        <w:t xml:space="preserve">Facial expressions in marketing </w:t>
      </w:r>
      <w:r>
        <w:rPr>
          <w:rFonts w:hint="eastAsia" w:ascii="MHEupperelemsans" w:hAnsi="MHEupperelemsans" w:eastAsia="宋体"/>
          <w:lang w:val="en-US" w:eastAsia="zh-CN"/>
        </w:rPr>
        <w:t>r</w:t>
      </w:r>
      <w:r>
        <w:rPr>
          <w:rFonts w:hint="default" w:ascii="MHEupperelemsans" w:hAnsi="MHEupperelemsans"/>
          <w:lang w:val="en-US"/>
        </w:rPr>
        <w:t>esearch</w:t>
      </w:r>
    </w:p>
    <w:p w14:paraId="22FE632C">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default" w:ascii="SRA Serif 1.1" w:hAnsi="SRA Serif 1.1" w:eastAsiaTheme="minorHAnsi" w:cstheme="minorBidi"/>
          <w:color w:val="auto"/>
          <w:kern w:val="2"/>
          <w:sz w:val="22"/>
          <w:szCs w:val="22"/>
          <w:lang w:val="en-US" w:eastAsia="zh-CN" w:bidi="ar-SA"/>
        </w:rPr>
        <w:t>Facial expressions, particularly emotional cues, significantly impact audience perceptions and behaviors in business. Research has shown that subtle asymmetries in CEO facial expressions during interviews can influence stock market responses, highlighting the power of non-verbal cues in investor behavior (Banker et al., 2024). Similarly, CEO facial expressions combined with speech sentiment can predict M&amp;A outcomes, demonstrating their role in corporate decision success (Choudhury et al., 2019).</w:t>
      </w:r>
    </w:p>
    <w:p w14:paraId="16DF02F5">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default" w:ascii="SRA Serif 1.1" w:hAnsi="SRA Serif 1.1" w:eastAsiaTheme="minorHAnsi" w:cstheme="minorBidi"/>
          <w:color w:val="auto"/>
          <w:kern w:val="2"/>
          <w:sz w:val="22"/>
          <w:szCs w:val="22"/>
          <w:lang w:val="en-US" w:eastAsia="zh-CN" w:bidi="ar-SA"/>
        </w:rPr>
        <w:t>In live streaming, broadcasters' happiness correlates with higher viewer engagement, with positive expressions driving more interactive comments (Lin, Yao &amp; Chen, 2021). Research using the EASI model found that streamers' happiness and surprise increased paid gifting behavior, while negative emotions had the opposite effect (Xi et al., 2024). Streamer traits like warmth and humor also boost viewer intentions to watch and purchase, mediated by perceived value (Guo, Zhang &amp; Wang, 2022).</w:t>
      </w:r>
    </w:p>
    <w:p w14:paraId="1971A195">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default" w:ascii="SRA Serif 1.1" w:hAnsi="SRA Serif 1.1" w:eastAsiaTheme="minorHAnsi" w:cstheme="minorBidi"/>
          <w:color w:val="auto"/>
          <w:kern w:val="2"/>
          <w:sz w:val="22"/>
          <w:szCs w:val="22"/>
          <w:lang w:val="en-US" w:eastAsia="zh-CN" w:bidi="ar-SA"/>
        </w:rPr>
        <w:t>Emotional attachment to streamers, facilitated by facial expressions, enhances user retention and engagement (Li, Li &amp; Cai, 2021). CEO expressions also influence investor perceptions during ICOs, impacting pricing and market valuation (Momtaz, 2021). Expressions of sadness by CEOs during a crisis can shape public perceptions and company reputation, with empathy and perceived competence playing key roles (Schoofs &amp; Claeys, 2021).</w:t>
      </w:r>
    </w:p>
    <w:p w14:paraId="7CA76AB8">
      <w:pPr>
        <w:pStyle w:val="3"/>
        <w:numPr>
          <w:ilvl w:val="0"/>
          <w:numId w:val="0"/>
        </w:numPr>
        <w:ind w:leftChars="0"/>
        <w:jc w:val="both"/>
        <w:rPr>
          <w:rFonts w:hint="default" w:ascii="MHEupperelemsans" w:hAnsi="MHEupperelemsans"/>
          <w:lang w:val="en-US"/>
        </w:rPr>
      </w:pPr>
      <w:r>
        <w:rPr>
          <w:rFonts w:hint="default" w:ascii="MHEupperelemsans" w:hAnsi="MHEupperelemsans"/>
          <w:lang w:val="it-IT"/>
        </w:rPr>
        <w:t>1.</w:t>
      </w:r>
      <w:r>
        <w:rPr>
          <w:rFonts w:hint="default" w:ascii="MHEupperelemsans" w:hAnsi="MHEupperelemsans"/>
          <w:lang w:val="en-US"/>
        </w:rPr>
        <w:t>1.</w:t>
      </w:r>
      <w:r>
        <w:rPr>
          <w:rFonts w:hint="default" w:ascii="MHEupperelemsans" w:hAnsi="MHEupperelemsans"/>
          <w:lang w:val="it-IT"/>
        </w:rPr>
        <w:t>2</w:t>
      </w:r>
      <w:r>
        <w:rPr>
          <w:rFonts w:hint="default" w:ascii="MHEupperelemsans" w:hAnsi="MHEupperelemsans"/>
          <w:lang w:val="it-IT"/>
        </w:rPr>
        <w:tab/>
      </w:r>
      <w:r>
        <w:rPr>
          <w:rFonts w:hint="default" w:ascii="MHEupperelemsans" w:hAnsi="MHEupperelemsans"/>
          <w:lang w:val="en-US"/>
        </w:rPr>
        <w:t>Facial coding systems</w:t>
      </w:r>
    </w:p>
    <w:p w14:paraId="39D6B191">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zh-CN" w:bidi="ar-SA"/>
        </w:rPr>
      </w:pPr>
      <w:r>
        <w:rPr>
          <w:rFonts w:hint="eastAsia" w:ascii="SRA Serif 1.1" w:hAnsi="SRA Serif 1.1" w:eastAsiaTheme="minorHAnsi" w:cstheme="minorBidi"/>
          <w:color w:val="auto"/>
          <w:kern w:val="2"/>
          <w:sz w:val="22"/>
          <w:szCs w:val="22"/>
          <w:lang w:val="en-US" w:eastAsia="zh-CN" w:bidi="ar-SA"/>
        </w:rPr>
        <w:t xml:space="preserve">In marketing and management, the classification of facial expressions has room for further development. To address this, I reviewed literature in fields such as computer science, behavioral science, machine learning, human-computer interaction, and psychology, uncovering more comprehensive classification methods. These approaches include separating and analyzing individual facial units (e.g., eyes, lips) as well as conducting combined analyses. </w:t>
      </w:r>
    </w:p>
    <w:p w14:paraId="23C319E0">
      <w:pPr>
        <w:rPr>
          <w:rFonts w:hint="default" w:ascii="MHEupperelemsans" w:hAnsi="MHEupperelemsans" w:eastAsia="Times New Roman" w:cs="Times New Roman"/>
          <w:kern w:val="0"/>
          <w:sz w:val="19"/>
          <w:szCs w:val="20"/>
          <w:lang w:val="en-US" w:eastAsia="it-IT" w:bidi="ar-SA"/>
        </w:rPr>
      </w:pPr>
      <w:r>
        <w:rPr>
          <w:rFonts w:hint="default" w:ascii="MHEupperelemsans" w:hAnsi="MHEupperelemsans" w:eastAsia="Times New Roman" w:cs="Times New Roman"/>
          <w:b/>
          <w:bCs/>
          <w:kern w:val="0"/>
          <w:sz w:val="19"/>
          <w:szCs w:val="20"/>
          <w:lang w:val="en-US" w:eastAsia="it-IT" w:bidi="ar-SA"/>
        </w:rPr>
        <w:t>Table 1.2</w:t>
      </w:r>
      <w:r>
        <w:rPr>
          <w:rFonts w:hint="default" w:ascii="MHEupperelemsans" w:hAnsi="MHEupperelemsans" w:eastAsia="Times New Roman" w:cs="Times New Roman"/>
          <w:kern w:val="0"/>
          <w:sz w:val="19"/>
          <w:szCs w:val="20"/>
          <w:lang w:val="en-US" w:eastAsia="it-IT" w:bidi="ar-SA"/>
        </w:rPr>
        <w:t xml:space="preserve"> Main studies in shaping facial coding systems</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726"/>
        <w:gridCol w:w="2753"/>
        <w:gridCol w:w="2994"/>
      </w:tblGrid>
      <w:tr w14:paraId="74F8C6BF">
        <w:trPr>
          <w:trHeight w:val="192" w:hRule="atLeast"/>
        </w:trPr>
        <w:tc>
          <w:tcPr>
            <w:tcW w:w="1726" w:type="dxa"/>
            <w:tcBorders>
              <w:top w:val="single" w:color="auto" w:sz="4" w:space="0"/>
              <w:left w:val="single" w:color="auto" w:sz="4" w:space="0"/>
              <w:bottom w:val="single" w:color="auto" w:sz="4" w:space="0"/>
              <w:right w:val="single" w:color="auto" w:sz="4" w:space="0"/>
            </w:tcBorders>
            <w:shd w:val="clear" w:color="auto" w:fill="auto"/>
            <w:vAlign w:val="top"/>
          </w:tcPr>
          <w:p w14:paraId="611B9DD1">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iCs/>
                <w:sz w:val="19"/>
                <w:szCs w:val="19"/>
                <w:lang w:val="en-US" w:eastAsia="zh-CN"/>
              </w:rPr>
            </w:pPr>
            <w:r>
              <w:rPr>
                <w:rFonts w:hint="default" w:ascii="MHEupperelemsans" w:hAnsi="MHEupperelemsans"/>
                <w:i/>
                <w:iCs/>
                <w:sz w:val="19"/>
                <w:szCs w:val="19"/>
                <w:lang w:val="en-US" w:eastAsia="zh-CN"/>
              </w:rPr>
              <w:t>Method</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3D58FF7F">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iCs/>
                <w:sz w:val="19"/>
                <w:szCs w:val="19"/>
                <w:lang w:val="en-US"/>
              </w:rPr>
            </w:pPr>
            <w:r>
              <w:rPr>
                <w:rFonts w:hint="default" w:ascii="MHEupperelemsans" w:hAnsi="MHEupperelemsans"/>
                <w:i/>
                <w:iCs/>
                <w:sz w:val="19"/>
                <w:szCs w:val="19"/>
                <w:lang w:val="en-US" w:eastAsia="zh-CN"/>
              </w:rPr>
              <w:t xml:space="preserve">Description </w:t>
            </w:r>
          </w:p>
        </w:tc>
        <w:tc>
          <w:tcPr>
            <w:tcW w:w="2994" w:type="dxa"/>
            <w:tcBorders>
              <w:top w:val="single" w:color="auto" w:sz="4" w:space="0"/>
              <w:left w:val="single" w:color="auto" w:sz="4" w:space="0"/>
              <w:bottom w:val="single" w:color="auto" w:sz="4" w:space="0"/>
              <w:right w:val="single" w:color="auto" w:sz="4" w:space="0"/>
            </w:tcBorders>
            <w:shd w:val="clear" w:color="auto" w:fill="auto"/>
            <w:vAlign w:val="top"/>
          </w:tcPr>
          <w:p w14:paraId="0EDD66F2">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iCs/>
                <w:sz w:val="19"/>
                <w:szCs w:val="19"/>
                <w:lang w:val="en-US" w:eastAsia="zh-CN"/>
              </w:rPr>
            </w:pPr>
            <w:r>
              <w:rPr>
                <w:rFonts w:hint="default" w:ascii="MHEupperelemsans" w:hAnsi="MHEupperelemsans"/>
                <w:i/>
                <w:iCs/>
                <w:sz w:val="19"/>
                <w:szCs w:val="19"/>
                <w:lang w:val="en-US" w:eastAsia="zh-CN"/>
              </w:rPr>
              <w:t>Representative study</w:t>
            </w:r>
          </w:p>
        </w:tc>
      </w:tr>
      <w:tr w14:paraId="607F03C2">
        <w:trPr>
          <w:trHeight w:val="273" w:hRule="atLeast"/>
        </w:trPr>
        <w:tc>
          <w:tcPr>
            <w:tcW w:w="1726" w:type="dxa"/>
            <w:tcBorders>
              <w:top w:val="single" w:color="auto" w:sz="4" w:space="0"/>
              <w:left w:val="single" w:color="auto" w:sz="4" w:space="0"/>
              <w:bottom w:val="single" w:color="auto" w:sz="4" w:space="0"/>
              <w:right w:val="single" w:color="auto" w:sz="4" w:space="0"/>
            </w:tcBorders>
            <w:shd w:val="clear" w:color="auto" w:fill="auto"/>
            <w:vAlign w:val="top"/>
          </w:tcPr>
          <w:p w14:paraId="0DAF85EC">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Facial Action Coding System</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58C8D7C4">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 xml:space="preserve">58 action unions of the facial action coding system </w:t>
            </w:r>
          </w:p>
        </w:tc>
        <w:tc>
          <w:tcPr>
            <w:tcW w:w="2994" w:type="dxa"/>
            <w:tcBorders>
              <w:top w:val="single" w:color="auto" w:sz="4" w:space="0"/>
              <w:left w:val="single" w:color="auto" w:sz="4" w:space="0"/>
              <w:bottom w:val="single" w:color="auto" w:sz="4" w:space="0"/>
              <w:right w:val="single" w:color="auto" w:sz="4" w:space="0"/>
            </w:tcBorders>
            <w:shd w:val="clear" w:color="auto" w:fill="auto"/>
            <w:vAlign w:val="top"/>
          </w:tcPr>
          <w:p w14:paraId="585A68C6">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Cohn, Ambadar and Ekman (2007)</w:t>
            </w:r>
          </w:p>
        </w:tc>
      </w:tr>
      <w:tr w14:paraId="1F4BD740">
        <w:trPr>
          <w:trHeight w:val="383" w:hRule="atLeast"/>
        </w:trPr>
        <w:tc>
          <w:tcPr>
            <w:tcW w:w="1726" w:type="dxa"/>
            <w:tcBorders>
              <w:top w:val="single" w:color="auto" w:sz="4" w:space="0"/>
              <w:left w:val="single" w:color="auto" w:sz="4" w:space="0"/>
              <w:bottom w:val="single" w:color="auto" w:sz="4" w:space="0"/>
              <w:right w:val="single" w:color="auto" w:sz="4" w:space="0"/>
            </w:tcBorders>
            <w:shd w:val="clear" w:color="auto" w:fill="auto"/>
            <w:vAlign w:val="top"/>
          </w:tcPr>
          <w:p w14:paraId="36B1104D">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Categorical facial expression coding system</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53DE6661">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Contempt, disgust, fear, sadness, anger, happiness, surprise</w:t>
            </w:r>
          </w:p>
        </w:tc>
        <w:tc>
          <w:tcPr>
            <w:tcW w:w="2994" w:type="dxa"/>
            <w:tcBorders>
              <w:top w:val="single" w:color="auto" w:sz="4" w:space="0"/>
              <w:left w:val="single" w:color="auto" w:sz="4" w:space="0"/>
              <w:bottom w:val="single" w:color="auto" w:sz="4" w:space="0"/>
              <w:right w:val="single" w:color="auto" w:sz="4" w:space="0"/>
            </w:tcBorders>
            <w:shd w:val="clear" w:color="auto" w:fill="auto"/>
            <w:vAlign w:val="top"/>
          </w:tcPr>
          <w:p w14:paraId="294C55AE">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González-Rodríguez et al. (2020)</w:t>
            </w:r>
          </w:p>
        </w:tc>
      </w:tr>
      <w:tr w14:paraId="68099078">
        <w:tc>
          <w:tcPr>
            <w:tcW w:w="1726" w:type="dxa"/>
            <w:vMerge w:val="restart"/>
            <w:tcBorders>
              <w:top w:val="single" w:color="auto" w:sz="4" w:space="0"/>
              <w:left w:val="single" w:color="auto" w:sz="4" w:space="0"/>
              <w:bottom w:val="single" w:color="auto" w:sz="4" w:space="0"/>
              <w:right w:val="single" w:color="auto" w:sz="4" w:space="0"/>
            </w:tcBorders>
            <w:shd w:val="clear" w:color="auto" w:fill="auto"/>
            <w:vAlign w:val="top"/>
          </w:tcPr>
          <w:p w14:paraId="6A0CC643">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Credibility assessment of facial expressions</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4A8CBFD4">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Genuine (natural)</w:t>
            </w:r>
          </w:p>
        </w:tc>
        <w:tc>
          <w:tcPr>
            <w:tcW w:w="2994" w:type="dxa"/>
            <w:vMerge w:val="restart"/>
            <w:tcBorders>
              <w:top w:val="single" w:color="auto" w:sz="4" w:space="0"/>
              <w:left w:val="single" w:color="auto" w:sz="4" w:space="0"/>
              <w:bottom w:val="single" w:color="auto" w:sz="4" w:space="0"/>
              <w:right w:val="single" w:color="auto" w:sz="4" w:space="0"/>
            </w:tcBorders>
            <w:shd w:val="clear" w:color="auto" w:fill="auto"/>
            <w:vAlign w:val="top"/>
          </w:tcPr>
          <w:p w14:paraId="75732674">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it" w:eastAsia="zh-CN"/>
              </w:rPr>
              <w:t>Oguine</w:t>
            </w:r>
            <w:r>
              <w:rPr>
                <w:rFonts w:hint="default" w:ascii="MHEupperelemsans" w:hAnsi="MHEupperelemsans"/>
                <w:i w:val="0"/>
                <w:iCs w:val="0"/>
                <w:sz w:val="19"/>
                <w:szCs w:val="19"/>
                <w:lang w:val="en-US" w:eastAsia="zh-CN"/>
              </w:rPr>
              <w:t xml:space="preserve">, </w:t>
            </w:r>
            <w:r>
              <w:rPr>
                <w:rFonts w:hint="default" w:ascii="MHEupperelemsans" w:hAnsi="MHEupperelemsans"/>
                <w:i w:val="0"/>
                <w:iCs w:val="0"/>
                <w:sz w:val="19"/>
                <w:szCs w:val="19"/>
                <w:lang w:val="it" w:eastAsia="zh-CN"/>
              </w:rPr>
              <w:t>Oguine</w:t>
            </w:r>
            <w:r>
              <w:rPr>
                <w:rFonts w:hint="default" w:ascii="MHEupperelemsans" w:hAnsi="MHEupperelemsans"/>
                <w:i w:val="0"/>
                <w:iCs w:val="0"/>
                <w:sz w:val="19"/>
                <w:szCs w:val="19"/>
                <w:lang w:val="en-US" w:eastAsia="zh-CN"/>
              </w:rPr>
              <w:t xml:space="preserve">, </w:t>
            </w:r>
            <w:r>
              <w:rPr>
                <w:rFonts w:hint="default" w:ascii="MHEupperelemsans" w:hAnsi="MHEupperelemsans"/>
                <w:i w:val="0"/>
                <w:iCs w:val="0"/>
                <w:sz w:val="19"/>
                <w:szCs w:val="19"/>
                <w:lang w:val="it" w:eastAsia="zh-CN"/>
              </w:rPr>
              <w:t>Bisallah</w:t>
            </w:r>
            <w:r>
              <w:rPr>
                <w:rFonts w:hint="default" w:ascii="MHEupperelemsans" w:hAnsi="MHEupperelemsans"/>
                <w:i w:val="0"/>
                <w:iCs w:val="0"/>
                <w:sz w:val="19"/>
                <w:szCs w:val="19"/>
                <w:lang w:val="en-US" w:eastAsia="zh-CN"/>
              </w:rPr>
              <w:t xml:space="preserve"> </w:t>
            </w:r>
            <w:r>
              <w:rPr>
                <w:rFonts w:hint="default" w:ascii="MHEupperelemsans" w:hAnsi="MHEupperelemsans"/>
                <w:i w:val="0"/>
                <w:iCs w:val="0"/>
                <w:sz w:val="19"/>
                <w:szCs w:val="19"/>
                <w:lang w:val="it" w:eastAsia="zh-CN"/>
              </w:rPr>
              <w:t>&amp; Ofuani</w:t>
            </w:r>
            <w:r>
              <w:rPr>
                <w:rFonts w:hint="default" w:ascii="MHEupperelemsans" w:hAnsi="MHEupperelemsans"/>
                <w:i w:val="0"/>
                <w:iCs w:val="0"/>
                <w:sz w:val="19"/>
                <w:szCs w:val="19"/>
                <w:lang w:val="en-US" w:eastAsia="zh-CN"/>
              </w:rPr>
              <w:t xml:space="preserve"> </w:t>
            </w:r>
            <w:r>
              <w:rPr>
                <w:rFonts w:hint="default" w:ascii="MHEupperelemsans" w:hAnsi="MHEupperelemsans"/>
                <w:i w:val="0"/>
                <w:iCs w:val="0"/>
                <w:sz w:val="19"/>
                <w:szCs w:val="19"/>
                <w:lang w:val="it" w:eastAsia="zh-CN"/>
              </w:rPr>
              <w:t>(2022)</w:t>
            </w:r>
          </w:p>
        </w:tc>
      </w:tr>
      <w:tr w14:paraId="6526F2FD">
        <w:trPr>
          <w:trHeight w:val="90" w:hRule="atLeast"/>
        </w:trPr>
        <w:tc>
          <w:tcPr>
            <w:tcW w:w="1726" w:type="dxa"/>
            <w:vMerge w:val="continue"/>
            <w:tcBorders>
              <w:top w:val="single" w:color="auto" w:sz="4" w:space="0"/>
              <w:left w:val="single" w:color="auto" w:sz="4" w:space="0"/>
              <w:bottom w:val="single" w:color="auto" w:sz="4" w:space="0"/>
              <w:right w:val="single" w:color="auto" w:sz="4" w:space="0"/>
            </w:tcBorders>
            <w:shd w:val="clear" w:color="auto" w:fill="auto"/>
            <w:vAlign w:val="top"/>
          </w:tcPr>
          <w:p w14:paraId="7D74891D">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mallCaps/>
                <w:sz w:val="21"/>
              </w:rPr>
            </w:pP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4D242B32">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Postured (deliberate/volitional/deceptive) expressions</w:t>
            </w:r>
          </w:p>
        </w:tc>
        <w:tc>
          <w:tcPr>
            <w:tcW w:w="2994" w:type="dxa"/>
            <w:vMerge w:val="continue"/>
            <w:tcBorders>
              <w:top w:val="single" w:color="auto" w:sz="4" w:space="0"/>
              <w:left w:val="single" w:color="auto" w:sz="4" w:space="0"/>
              <w:bottom w:val="single" w:color="auto" w:sz="4" w:space="0"/>
              <w:right w:val="single" w:color="auto" w:sz="4" w:space="0"/>
            </w:tcBorders>
            <w:shd w:val="clear" w:color="auto" w:fill="auto"/>
            <w:vAlign w:val="top"/>
          </w:tcPr>
          <w:p w14:paraId="11763C1B">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p>
        </w:tc>
      </w:tr>
      <w:tr w14:paraId="6527F68A">
        <w:trPr>
          <w:trHeight w:val="120" w:hRule="atLeast"/>
        </w:trPr>
        <w:tc>
          <w:tcPr>
            <w:tcW w:w="1726" w:type="dxa"/>
            <w:tcBorders>
              <w:top w:val="single" w:color="auto" w:sz="4" w:space="0"/>
              <w:left w:val="single" w:color="auto" w:sz="4" w:space="0"/>
              <w:bottom w:val="single" w:color="auto" w:sz="4" w:space="0"/>
              <w:right w:val="single" w:color="auto" w:sz="4" w:space="0"/>
            </w:tcBorders>
            <w:shd w:val="clear" w:color="auto" w:fill="auto"/>
            <w:vAlign w:val="top"/>
          </w:tcPr>
          <w:p w14:paraId="06A6E421">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Micro/macro expressions</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38E429BB">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Duration, Visibility, Emotional significance</w:t>
            </w:r>
          </w:p>
        </w:tc>
        <w:tc>
          <w:tcPr>
            <w:tcW w:w="2994" w:type="dxa"/>
            <w:tcBorders>
              <w:top w:val="single" w:color="auto" w:sz="4" w:space="0"/>
              <w:left w:val="single" w:color="auto" w:sz="4" w:space="0"/>
              <w:bottom w:val="single" w:color="auto" w:sz="4" w:space="0"/>
              <w:right w:val="single" w:color="auto" w:sz="4" w:space="0"/>
            </w:tcBorders>
            <w:shd w:val="clear" w:color="auto" w:fill="auto"/>
            <w:vAlign w:val="top"/>
          </w:tcPr>
          <w:p w14:paraId="6C4C96DD">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Yap, Kendrick &amp; Yap (2020</w:t>
            </w:r>
            <w:r>
              <w:rPr>
                <w:rFonts w:hint="eastAsia" w:ascii="MHEupperelemsans" w:hAnsi="MHEupperelemsans"/>
                <w:i w:val="0"/>
                <w:iCs w:val="0"/>
                <w:sz w:val="19"/>
                <w:szCs w:val="19"/>
                <w:lang w:val="en-US" w:eastAsia="zh-CN"/>
              </w:rPr>
              <w:t>）</w:t>
            </w:r>
          </w:p>
        </w:tc>
      </w:tr>
      <w:tr w14:paraId="5FBC047A">
        <w:trPr>
          <w:trHeight w:val="509" w:hRule="atLeast"/>
        </w:trPr>
        <w:tc>
          <w:tcPr>
            <w:tcW w:w="1726" w:type="dxa"/>
            <w:tcBorders>
              <w:top w:val="single" w:color="auto" w:sz="4" w:space="0"/>
              <w:left w:val="single" w:color="auto" w:sz="4" w:space="0"/>
              <w:bottom w:val="single" w:color="auto" w:sz="4" w:space="0"/>
              <w:right w:val="single" w:color="auto" w:sz="4" w:space="0"/>
            </w:tcBorders>
            <w:shd w:val="clear" w:color="auto" w:fill="auto"/>
            <w:vAlign w:val="top"/>
          </w:tcPr>
          <w:p w14:paraId="4B3F5DEB">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PAD emotional model</w:t>
            </w:r>
          </w:p>
        </w:tc>
        <w:tc>
          <w:tcPr>
            <w:tcW w:w="2753" w:type="dxa"/>
            <w:tcBorders>
              <w:top w:val="single" w:color="auto" w:sz="4" w:space="0"/>
              <w:left w:val="single" w:color="auto" w:sz="4" w:space="0"/>
              <w:bottom w:val="single" w:color="auto" w:sz="4" w:space="0"/>
              <w:right w:val="single" w:color="auto" w:sz="4" w:space="0"/>
            </w:tcBorders>
            <w:shd w:val="clear" w:color="auto" w:fill="auto"/>
            <w:vAlign w:val="top"/>
          </w:tcPr>
          <w:p w14:paraId="5BB47BE1">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Pleasure, Arousal, Dominance</w:t>
            </w:r>
          </w:p>
        </w:tc>
        <w:tc>
          <w:tcPr>
            <w:tcW w:w="2994" w:type="dxa"/>
            <w:tcBorders>
              <w:top w:val="single" w:color="auto" w:sz="4" w:space="0"/>
              <w:left w:val="single" w:color="auto" w:sz="4" w:space="0"/>
              <w:bottom w:val="single" w:color="auto" w:sz="4" w:space="0"/>
              <w:right w:val="single" w:color="auto" w:sz="4" w:space="0"/>
            </w:tcBorders>
            <w:shd w:val="clear" w:color="auto" w:fill="auto"/>
            <w:vAlign w:val="top"/>
          </w:tcPr>
          <w:p w14:paraId="3344ABB7">
            <w:pPr>
              <w:pStyle w:val="91"/>
              <w:keepNext w:val="0"/>
              <w:keepLines w:val="0"/>
              <w:pageBreakBefore w:val="0"/>
              <w:widowControl/>
              <w:kinsoku/>
              <w:wordWrap/>
              <w:overflowPunct/>
              <w:topLinePunct w:val="0"/>
              <w:autoSpaceDE/>
              <w:autoSpaceDN/>
              <w:bidi w:val="0"/>
              <w:adjustRightInd/>
              <w:snapToGrid/>
              <w:spacing w:after="0" w:line="200" w:lineRule="exact"/>
              <w:ind w:firstLine="284"/>
              <w:jc w:val="both"/>
              <w:textAlignment w:val="auto"/>
              <w:rPr>
                <w:rFonts w:hint="default" w:ascii="MHEupperelemsans" w:hAnsi="MHEupperelemsans"/>
                <w:i w:val="0"/>
                <w:iCs w:val="0"/>
                <w:sz w:val="19"/>
                <w:szCs w:val="19"/>
                <w:lang w:val="en-US" w:eastAsia="zh-CN"/>
              </w:rPr>
            </w:pPr>
            <w:r>
              <w:rPr>
                <w:rFonts w:hint="default" w:ascii="MHEupperelemsans" w:hAnsi="MHEupperelemsans"/>
                <w:i w:val="0"/>
                <w:iCs w:val="0"/>
                <w:sz w:val="19"/>
                <w:szCs w:val="19"/>
                <w:lang w:val="en-US" w:eastAsia="zh-CN"/>
              </w:rPr>
              <w:t>Developed by psychologists James A. Russell and Albert Mehrabian (1977)</w:t>
            </w:r>
          </w:p>
        </w:tc>
      </w:tr>
    </w:tbl>
    <w:p w14:paraId="05D8568E">
      <w:pPr>
        <w:pStyle w:val="3"/>
        <w:numPr>
          <w:ilvl w:val="0"/>
          <w:numId w:val="0"/>
        </w:numPr>
        <w:ind w:leftChars="0"/>
        <w:jc w:val="both"/>
        <w:rPr>
          <w:rFonts w:hint="default" w:ascii="MHEupperelemsans" w:hAnsi="MHEupperelemsans"/>
          <w:lang w:val="en-US" w:eastAsia="zh-CN"/>
        </w:rPr>
      </w:pPr>
      <w:r>
        <w:rPr>
          <w:rFonts w:hint="eastAsia" w:ascii="MHEupperelemsans" w:hAnsi="MHEupperelemsans"/>
          <w:lang w:val="en-US" w:eastAsia="zh-CN"/>
        </w:rPr>
        <w:t>2.1 Metho</w:t>
      </w:r>
      <w:r>
        <w:rPr>
          <w:rFonts w:hint="default" w:ascii="MHEupperelemsans" w:hAnsi="MHEupperelemsans"/>
          <w:lang w:val="en-US" w:eastAsia="zh-CN"/>
        </w:rPr>
        <w:t>dology</w:t>
      </w:r>
    </w:p>
    <w:p w14:paraId="68A0DCE7">
      <w:pPr>
        <w:pStyle w:val="32"/>
        <w:keepNext w:val="0"/>
        <w:keepLines w:val="0"/>
        <w:widowControl/>
        <w:suppressLineNumbers w:val="0"/>
        <w:jc w:val="both"/>
        <w:rPr>
          <w:rFonts w:hint="default" w:ascii="SRA Serif 1.1" w:hAnsi="SRA Serif 1.1" w:eastAsiaTheme="minorHAnsi" w:cstheme="minorBidi"/>
          <w:color w:val="auto"/>
          <w:kern w:val="2"/>
          <w:sz w:val="22"/>
          <w:szCs w:val="22"/>
          <w:lang w:val="it-IT" w:eastAsia="en-US" w:bidi="ar-SA"/>
        </w:rPr>
      </w:pPr>
      <w:r>
        <w:rPr>
          <w:rFonts w:hint="default" w:ascii="SRA Serif 1.1" w:hAnsi="SRA Serif 1.1" w:eastAsiaTheme="minorHAnsi" w:cstheme="minorBidi"/>
          <w:color w:val="auto"/>
          <w:kern w:val="2"/>
          <w:sz w:val="22"/>
          <w:szCs w:val="22"/>
          <w:lang w:val="en-US" w:eastAsia="zh-CN" w:bidi="ar-SA"/>
        </w:rPr>
        <w:t>This research will use a quantitative approach, utilizing AI-driven deep learning algorithms to analyze facial expressions in live-streaming sessions. The study will collect data from major live-streaming platforms in China, focusing on 1,500 data points across various product categories. The facial expressions of anchors will be classified into 28 distinct categories based on the taxonomy by Brooks et al. (2024). Session duration, sales performance (number of purchases), and engagement (e.g., comments, likes, shares) will also be recorded and analyzed. The AI system will track and analyze the correlation between the emotional expressions displayed by the anchor and consumer behavior in real-time.</w:t>
      </w:r>
    </w:p>
    <w:p w14:paraId="04FE8D37">
      <w:pPr>
        <w:pStyle w:val="32"/>
        <w:keepNext w:val="0"/>
        <w:keepLines w:val="0"/>
        <w:widowControl/>
        <w:suppressLineNumbers w:val="0"/>
        <w:jc w:val="both"/>
        <w:rPr>
          <w:rFonts w:hint="default" w:ascii="SRA Serif 1.1" w:hAnsi="SRA Serif 1.1" w:eastAsiaTheme="minorHAnsi" w:cstheme="minorBidi"/>
          <w:color w:val="auto"/>
          <w:kern w:val="2"/>
          <w:sz w:val="22"/>
          <w:szCs w:val="22"/>
          <w:lang w:val="en-US" w:eastAsia="en-US" w:bidi="ar-SA"/>
        </w:rPr>
      </w:pPr>
      <w:r>
        <w:rPr>
          <w:rFonts w:hint="default" w:ascii="SRA Serif 1.1" w:hAnsi="SRA Serif 1.1" w:eastAsiaTheme="minorHAnsi" w:cstheme="minorBidi"/>
          <w:color w:val="auto"/>
          <w:kern w:val="2"/>
          <w:sz w:val="22"/>
          <w:szCs w:val="22"/>
          <w:lang w:val="en-US" w:eastAsia="en-US" w:bidi="ar-SA"/>
        </w:rPr>
        <w:t xml:space="preserve">Considering the </w:t>
      </w:r>
      <w:r>
        <w:rPr>
          <w:rFonts w:hint="default" w:ascii="SRA Serif 1.1" w:hAnsi="SRA Serif 1.1" w:eastAsiaTheme="minorHAnsi" w:cstheme="minorBidi"/>
          <w:color w:val="auto"/>
          <w:kern w:val="2"/>
          <w:sz w:val="22"/>
          <w:szCs w:val="22"/>
          <w:lang w:val="it-IT" w:eastAsia="en-US" w:bidi="ar-SA"/>
        </w:rPr>
        <w:t>Platform Selection</w:t>
      </w:r>
      <w:r>
        <w:rPr>
          <w:rFonts w:hint="default" w:ascii="SRA Serif 1.1" w:hAnsi="SRA Serif 1.1" w:eastAsiaTheme="minorHAnsi" w:cstheme="minorBidi"/>
          <w:color w:val="auto"/>
          <w:kern w:val="2"/>
          <w:sz w:val="22"/>
          <w:szCs w:val="22"/>
          <w:lang w:val="en-US" w:eastAsia="en-US" w:bidi="ar-SA"/>
        </w:rPr>
        <w:t>, the</w:t>
      </w:r>
      <w:r>
        <w:rPr>
          <w:rFonts w:hint="default" w:ascii="SRA Serif 1.1" w:hAnsi="SRA Serif 1.1" w:eastAsiaTheme="minorHAnsi" w:cstheme="minorBidi"/>
          <w:color w:val="auto"/>
          <w:kern w:val="2"/>
          <w:sz w:val="22"/>
          <w:szCs w:val="22"/>
          <w:lang w:val="it-IT" w:eastAsia="en-US" w:bidi="ar-SA"/>
        </w:rPr>
        <w:t xml:space="preserve"> </w:t>
      </w:r>
      <w:r>
        <w:rPr>
          <w:rFonts w:hint="default" w:ascii="SRA Serif 1.1" w:hAnsi="SRA Serif 1.1" w:eastAsiaTheme="minorHAnsi" w:cstheme="minorBidi"/>
          <w:color w:val="auto"/>
          <w:kern w:val="2"/>
          <w:sz w:val="22"/>
          <w:szCs w:val="22"/>
          <w:lang w:val="en-US" w:eastAsia="en-US" w:bidi="ar-SA"/>
        </w:rPr>
        <w:t>m</w:t>
      </w:r>
      <w:r>
        <w:rPr>
          <w:rFonts w:hint="default" w:ascii="SRA Serif 1.1" w:hAnsi="SRA Serif 1.1" w:eastAsiaTheme="minorHAnsi" w:cstheme="minorBidi"/>
          <w:color w:val="auto"/>
          <w:kern w:val="2"/>
          <w:sz w:val="22"/>
          <w:szCs w:val="22"/>
          <w:lang w:val="it-IT" w:eastAsia="en-US" w:bidi="ar-SA"/>
        </w:rPr>
        <w:t>ajor live-streaming platforms will be targeted for data collection, representing the primary e-commerce platforms in China.</w:t>
      </w:r>
      <w:r>
        <w:rPr>
          <w:rFonts w:hint="default" w:ascii="SRA Serif 1.1" w:hAnsi="SRA Serif 1.1" w:eastAsiaTheme="minorHAnsi" w:cstheme="minorBidi"/>
          <w:color w:val="auto"/>
          <w:kern w:val="2"/>
          <w:sz w:val="22"/>
          <w:szCs w:val="22"/>
          <w:lang w:val="en-US" w:eastAsia="en-US" w:bidi="ar-SA"/>
        </w:rPr>
        <w:t xml:space="preserve"> For the </w:t>
      </w:r>
      <w:r>
        <w:rPr>
          <w:rFonts w:hint="default" w:ascii="SRA Serif 1.1" w:hAnsi="SRA Serif 1.1" w:eastAsiaTheme="minorHAnsi" w:cstheme="minorBidi"/>
          <w:color w:val="auto"/>
          <w:kern w:val="2"/>
          <w:sz w:val="22"/>
          <w:szCs w:val="22"/>
          <w:lang w:val="it-IT" w:eastAsia="en-US" w:bidi="ar-SA"/>
        </w:rPr>
        <w:t>Sample Size</w:t>
      </w:r>
      <w:r>
        <w:rPr>
          <w:rFonts w:hint="default" w:ascii="SRA Serif 1.1" w:hAnsi="SRA Serif 1.1" w:eastAsiaTheme="minorHAnsi" w:cstheme="minorBidi"/>
          <w:color w:val="auto"/>
          <w:kern w:val="2"/>
          <w:sz w:val="22"/>
          <w:szCs w:val="22"/>
          <w:lang w:val="en-US" w:eastAsia="en-US" w:bidi="ar-SA"/>
        </w:rPr>
        <w:t>,</w:t>
      </w:r>
      <w:r>
        <w:rPr>
          <w:rFonts w:hint="default" w:ascii="SRA Serif 1.1" w:hAnsi="SRA Serif 1.1" w:eastAsiaTheme="minorHAnsi" w:cstheme="minorBidi"/>
          <w:color w:val="auto"/>
          <w:kern w:val="2"/>
          <w:sz w:val="22"/>
          <w:szCs w:val="22"/>
          <w:lang w:val="it-IT" w:eastAsia="en-US" w:bidi="ar-SA"/>
        </w:rPr>
        <w:t xml:space="preserve"> 1,500 data points will be captured from various live-streaming sessions, ensuring a broad and representative sample across different product categories.</w:t>
      </w:r>
      <w:r>
        <w:rPr>
          <w:rFonts w:hint="default" w:ascii="SRA Serif 1.1" w:hAnsi="SRA Serif 1.1" w:eastAsiaTheme="minorHAnsi" w:cstheme="minorBidi"/>
          <w:color w:val="auto"/>
          <w:kern w:val="2"/>
          <w:sz w:val="22"/>
          <w:szCs w:val="22"/>
          <w:lang w:val="en-US" w:eastAsia="en-US" w:bidi="ar-SA"/>
        </w:rPr>
        <w:t xml:space="preserve"> By conducting the f</w:t>
      </w:r>
      <w:r>
        <w:rPr>
          <w:rFonts w:hint="default" w:ascii="SRA Serif 1.1" w:hAnsi="SRA Serif 1.1" w:eastAsiaTheme="minorHAnsi" w:cstheme="minorBidi"/>
          <w:color w:val="auto"/>
          <w:kern w:val="2"/>
          <w:sz w:val="22"/>
          <w:szCs w:val="22"/>
          <w:lang w:val="it-IT" w:eastAsia="en-US" w:bidi="ar-SA"/>
        </w:rPr>
        <w:t>acial Expression Analysis</w:t>
      </w:r>
      <w:r>
        <w:rPr>
          <w:rFonts w:hint="default" w:ascii="SRA Serif 1.1" w:hAnsi="SRA Serif 1.1" w:eastAsiaTheme="minorHAnsi" w:cstheme="minorBidi"/>
          <w:color w:val="auto"/>
          <w:kern w:val="2"/>
          <w:sz w:val="22"/>
          <w:szCs w:val="22"/>
          <w:lang w:val="en-US" w:eastAsia="en-US" w:bidi="ar-SA"/>
        </w:rPr>
        <w:t xml:space="preserve">, </w:t>
      </w:r>
      <w:r>
        <w:rPr>
          <w:rFonts w:hint="default" w:ascii="SRA Serif 1.1" w:hAnsi="SRA Serif 1.1" w:eastAsiaTheme="minorHAnsi" w:cstheme="minorBidi"/>
          <w:color w:val="auto"/>
          <w:kern w:val="2"/>
          <w:sz w:val="22"/>
          <w:szCs w:val="22"/>
          <w:lang w:val="it-IT" w:eastAsia="en-US" w:bidi="ar-SA"/>
        </w:rPr>
        <w:t>AI-driven deep learning tools</w:t>
      </w:r>
      <w:r>
        <w:rPr>
          <w:rFonts w:hint="default" w:ascii="SRA Serif 1.1" w:hAnsi="SRA Serif 1.1" w:eastAsiaTheme="minorHAnsi" w:cstheme="minorBidi"/>
          <w:color w:val="auto"/>
          <w:kern w:val="2"/>
          <w:sz w:val="22"/>
          <w:szCs w:val="22"/>
          <w:lang w:val="en-US" w:eastAsia="en-US" w:bidi="ar-SA"/>
        </w:rPr>
        <w:t xml:space="preserve"> are expected to be used.</w:t>
      </w:r>
      <w:r>
        <w:rPr>
          <w:rFonts w:hint="default" w:ascii="SRA Serif 1.1" w:hAnsi="SRA Serif 1.1" w:eastAsiaTheme="minorHAnsi" w:cstheme="minorBidi"/>
          <w:color w:val="auto"/>
          <w:kern w:val="2"/>
          <w:sz w:val="22"/>
          <w:szCs w:val="22"/>
          <w:lang w:val="it-IT" w:eastAsia="en-US" w:bidi="ar-SA"/>
        </w:rPr>
        <w:t xml:space="preserve"> 28 distinct facial expressions will be coded and analyzed in each session, focusing on key emotional indicators such as joy, surprise, and trust.</w:t>
      </w:r>
      <w:r>
        <w:rPr>
          <w:rFonts w:hint="default" w:ascii="SRA Serif 1.1" w:hAnsi="SRA Serif 1.1" w:eastAsiaTheme="minorHAnsi" w:cstheme="minorBidi"/>
          <w:color w:val="auto"/>
          <w:kern w:val="2"/>
          <w:sz w:val="22"/>
          <w:szCs w:val="22"/>
          <w:lang w:val="en-US" w:eastAsia="en-US" w:bidi="ar-SA"/>
        </w:rPr>
        <w:t xml:space="preserve"> The last step is to consider the </w:t>
      </w:r>
      <w:r>
        <w:rPr>
          <w:rFonts w:hint="default" w:ascii="SRA Serif 1.1" w:hAnsi="SRA Serif 1.1" w:eastAsiaTheme="minorHAnsi" w:cstheme="minorBidi"/>
          <w:color w:val="auto"/>
          <w:kern w:val="2"/>
          <w:sz w:val="22"/>
          <w:szCs w:val="22"/>
          <w:lang w:val="it-IT" w:eastAsia="en-US" w:bidi="ar-SA"/>
        </w:rPr>
        <w:t>Consumer Behavior Data</w:t>
      </w:r>
      <w:r>
        <w:rPr>
          <w:rFonts w:hint="default" w:ascii="SRA Serif 1.1" w:hAnsi="SRA Serif 1.1" w:eastAsiaTheme="minorHAnsi" w:cstheme="minorBidi"/>
          <w:color w:val="auto"/>
          <w:kern w:val="2"/>
          <w:sz w:val="22"/>
          <w:szCs w:val="22"/>
          <w:lang w:val="en-US" w:eastAsia="en-US" w:bidi="ar-SA"/>
        </w:rPr>
        <w:t xml:space="preserve">. </w:t>
      </w:r>
      <w:r>
        <w:rPr>
          <w:rFonts w:hint="default" w:ascii="SRA Serif 1.1" w:hAnsi="SRA Serif 1.1" w:eastAsiaTheme="minorHAnsi" w:cstheme="minorBidi"/>
          <w:color w:val="auto"/>
          <w:kern w:val="2"/>
          <w:sz w:val="22"/>
          <w:szCs w:val="22"/>
          <w:lang w:val="it-IT" w:eastAsia="en-US" w:bidi="ar-SA"/>
        </w:rPr>
        <w:t>Data on consumer interactions (e.g., comments, likes, shares) and sales (e.g., purchases made, revenue) will be collected from platform analytics</w:t>
      </w:r>
      <w:r>
        <w:rPr>
          <w:rFonts w:hint="default" w:ascii="SRA Serif 1.1" w:hAnsi="SRA Serif 1.1" w:eastAsiaTheme="minorHAnsi" w:cstheme="minorBidi"/>
          <w:color w:val="auto"/>
          <w:kern w:val="2"/>
          <w:sz w:val="22"/>
          <w:szCs w:val="22"/>
          <w:lang w:val="en-US" w:eastAsia="en-US" w:bidi="ar-SA"/>
        </w:rPr>
        <w:t xml:space="preserve"> by collaborating with the platforms. </w:t>
      </w:r>
    </w:p>
    <w:p w14:paraId="6A12C36C">
      <w:pPr>
        <w:pStyle w:val="3"/>
        <w:numPr>
          <w:ilvl w:val="0"/>
          <w:numId w:val="0"/>
        </w:numPr>
        <w:ind w:leftChars="0"/>
        <w:jc w:val="both"/>
        <w:rPr>
          <w:rFonts w:hint="default" w:ascii="MHEupperelemsans" w:hAnsi="MHEupperelemsans"/>
          <w:lang w:val="en-US" w:eastAsia="zh-CN"/>
        </w:rPr>
      </w:pPr>
      <w:r>
        <w:rPr>
          <w:rFonts w:hint="default" w:ascii="MHEupperelemsans" w:hAnsi="MHEupperelemsans"/>
          <w:lang w:val="en-US" w:eastAsia="zh-CN"/>
        </w:rPr>
        <w:t>3.1 Expected contributions</w:t>
      </w:r>
      <w:bookmarkStart w:id="0" w:name="_GoBack"/>
      <w:bookmarkEnd w:id="0"/>
    </w:p>
    <w:p w14:paraId="27E039B2">
      <w:pPr>
        <w:pStyle w:val="32"/>
        <w:keepNext w:val="0"/>
        <w:keepLines w:val="0"/>
        <w:widowControl/>
        <w:suppressLineNumbers w:val="0"/>
        <w:jc w:val="both"/>
        <w:rPr>
          <w:rFonts w:ascii="SRA Serif 1.1" w:hAnsi="SRA Serif 1.1"/>
          <w:lang w:val="it-IT"/>
        </w:rPr>
      </w:pPr>
      <w:r>
        <w:rPr>
          <w:rFonts w:hint="default" w:ascii="SRA Serif 1.1" w:hAnsi="SRA Serif 1.1" w:eastAsiaTheme="minorHAnsi" w:cstheme="minorBidi"/>
          <w:color w:val="auto"/>
          <w:kern w:val="2"/>
          <w:sz w:val="22"/>
          <w:szCs w:val="22"/>
          <w:lang w:val="en-US" w:eastAsia="zh-CN" w:bidi="ar-SA"/>
        </w:rPr>
        <w:t>This research expands emotional contagion theory by analyzing how specific facial expressions in live-streaming environments influence consumer behavior. It enhances the understanding of emotional analysis in digital marketing by applying an updated facial expression taxonomy to real-time e-commerce. The findings provide actionable insights for live-streaming anchors and marketers on using facial expressions to build emotional connections with consumers, improving sales performance and session duration. The study also highlights AI's potential to optimize emotional dynamics in live-streaming commerce, offering data-driven strategies for this rapidly growing sector in China and globally.</w:t>
      </w:r>
    </w:p>
    <w:p w14:paraId="4DFAFA28">
      <w:pPr>
        <w:pBdr>
          <w:top w:val="single" w:color="1C1C1C" w:sz="12" w:space="1"/>
          <w:left w:val="single" w:color="1C1C1C" w:sz="12" w:space="4"/>
          <w:bottom w:val="single" w:color="1C1C1C" w:sz="12" w:space="1"/>
          <w:right w:val="single" w:color="1C1C1C" w:sz="12" w:space="4"/>
        </w:pBdr>
        <w:jc w:val="both"/>
        <w:rPr>
          <w:rFonts w:hint="eastAsia" w:ascii="MHEupperelemsans" w:hAnsi="MHEupperelemsans" w:eastAsia="宋体"/>
          <w:lang w:val="en-US" w:eastAsia="zh-CN"/>
        </w:rPr>
      </w:pPr>
      <w:r>
        <w:rPr>
          <w:rFonts w:ascii="MHEupperelemsans" w:hAnsi="MHEupperelemsans"/>
          <w:b/>
          <w:lang w:val="it-IT"/>
        </w:rPr>
        <w:t>R</w:t>
      </w:r>
      <w:r>
        <w:rPr>
          <w:rFonts w:hint="eastAsia" w:ascii="MHEupperelemsans" w:hAnsi="MHEupperelemsans" w:eastAsia="宋体"/>
          <w:b/>
          <w:lang w:val="en-US" w:eastAsia="zh-CN"/>
        </w:rPr>
        <w:t>eference</w:t>
      </w:r>
    </w:p>
    <w:p w14:paraId="5756F29C">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Brooks, J. A., Kim, L., Opara, M., Keltner, D., Fang, X., Monroy, M., ... &amp; Cowen, A. S. (2024). Deep learning reveals what facial expressions mean to people in different cultures.</w:t>
      </w:r>
      <w:r>
        <w:rPr>
          <w:rFonts w:hint="default" w:ascii="MHEupperelemsans" w:hAnsi="MHEupperelemsans"/>
          <w:sz w:val="19"/>
          <w:szCs w:val="19"/>
          <w:lang w:val="en-US" w:eastAsia="zh-CN"/>
        </w:rPr>
        <w:t> Iscience, 27(3).</w:t>
      </w:r>
    </w:p>
    <w:p w14:paraId="7E88A4E4">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Ekman, P. (1993). Facial expression and emotion.</w:t>
      </w:r>
      <w:r>
        <w:rPr>
          <w:rFonts w:hint="default" w:ascii="MHEupperelemsans" w:hAnsi="MHEupperelemsans"/>
          <w:sz w:val="19"/>
          <w:szCs w:val="19"/>
          <w:lang w:val="en-US" w:eastAsia="zh-CN"/>
        </w:rPr>
        <w:t> American Psychologist, 48(4), 384–392.</w:t>
      </w:r>
    </w:p>
    <w:p w14:paraId="0B832066">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Jack, R. E., Garrod, O. G., Yu, H., Caldara, R., &amp; Schyns, P. G. (2012). Facial expressions of emotion are not culturally universal.</w:t>
      </w:r>
      <w:r>
        <w:rPr>
          <w:rFonts w:hint="default" w:ascii="MHEupperelemsans" w:hAnsi="MHEupperelemsans"/>
          <w:sz w:val="19"/>
          <w:szCs w:val="19"/>
          <w:lang w:val="en-US" w:eastAsia="zh-CN"/>
        </w:rPr>
        <w:t> Proceedings of the National Academy of Sciences, 109(19), 7241-7244.</w:t>
      </w:r>
    </w:p>
    <w:p w14:paraId="608A7ED8">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Kring, A. M., &amp; Gordon, A. H. (1998). Sex differences in emotion: expression, experience, and physiology.</w:t>
      </w:r>
      <w:r>
        <w:rPr>
          <w:rFonts w:hint="default" w:ascii="MHEupperelemsans" w:hAnsi="MHEupperelemsans"/>
          <w:sz w:val="19"/>
          <w:szCs w:val="19"/>
          <w:lang w:val="en-US" w:eastAsia="zh-CN"/>
        </w:rPr>
        <w:t> Journal of personality and social psychology, 74(3), 686.</w:t>
      </w:r>
    </w:p>
    <w:p w14:paraId="0CF815FE">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Malatesta-Magai, C., Jonas, R., Shepard, B., &amp; Culver, L. C. (1992). Type A behavior pattern and emotion expression in younger and older adults.</w:t>
      </w:r>
      <w:r>
        <w:rPr>
          <w:rFonts w:hint="default" w:ascii="MHEupperelemsans" w:hAnsi="MHEupperelemsans"/>
          <w:sz w:val="19"/>
          <w:szCs w:val="19"/>
          <w:lang w:val="en-US" w:eastAsia="zh-CN"/>
        </w:rPr>
        <w:t> Psychology and aging, 7(4), 551.</w:t>
      </w:r>
    </w:p>
    <w:p w14:paraId="40D43F6C">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Banker, R. D., Ding, H., Huang, R., &amp; Li, X. (2024). Market reaction to CEOs’ dynamic hemifacial asymmetry of expressions.</w:t>
      </w:r>
      <w:r>
        <w:rPr>
          <w:rFonts w:hint="default" w:ascii="MHEupperelemsans" w:hAnsi="MHEupperelemsans"/>
          <w:sz w:val="19"/>
          <w:szCs w:val="19"/>
          <w:lang w:val="en-US" w:eastAsia="zh-CN"/>
        </w:rPr>
        <w:t> Management Science, 70(7), 4847-4874.</w:t>
      </w:r>
    </w:p>
    <w:p w14:paraId="6B82A563">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Choudhury, P., Wang, D., Carlson, N. A., &amp; Khanna, T. (2019). Machine learning approaches to facial and text analysis: Discovering CEO oral communication styles.</w:t>
      </w:r>
      <w:r>
        <w:rPr>
          <w:rFonts w:hint="default" w:ascii="MHEupperelemsans" w:hAnsi="MHEupperelemsans"/>
          <w:sz w:val="19"/>
          <w:szCs w:val="19"/>
          <w:lang w:val="en-US" w:eastAsia="zh-CN"/>
        </w:rPr>
        <w:t> Strategic Management Journal, 40(11), 1705-1732.</w:t>
      </w:r>
    </w:p>
    <w:p w14:paraId="0D514D61">
      <w:pPr>
        <w:spacing w:line="240" w:lineRule="atLeast"/>
        <w:jc w:val="both"/>
        <w:rPr>
          <w:rFonts w:hint="default" w:ascii="MHEupperelemsans" w:hAnsi="MHEupperelemsans"/>
          <w:sz w:val="19"/>
          <w:szCs w:val="19"/>
          <w:lang w:val="en-US" w:eastAsia="zh-CN"/>
        </w:rPr>
      </w:pPr>
      <w:r>
        <w:rPr>
          <w:rFonts w:hint="default" w:ascii="MHEupperelemsans" w:hAnsi="MHEupperelemsans"/>
          <w:sz w:val="19"/>
          <w:szCs w:val="19"/>
          <w:lang w:val="en-US" w:eastAsia="zh-CN"/>
        </w:rPr>
        <w:t>Lin, Y., Yao, D., &amp; Chen, X. (2021). Happiness begets money: Emotion and engagement in live streaming. Journal of Marketing Research, 58(3), 417-438.</w:t>
      </w:r>
    </w:p>
    <w:p w14:paraId="44C14FC1">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Xi, D., Xu, W., Tang, L., &amp; Han, B. (2024). The impact of streamer emotions on viewer gifting behavior: evidence from entertainment live streaming.</w:t>
      </w:r>
      <w:r>
        <w:rPr>
          <w:rFonts w:hint="default" w:ascii="MHEupperelemsans" w:hAnsi="MHEupperelemsans"/>
          <w:sz w:val="19"/>
          <w:szCs w:val="19"/>
          <w:lang w:val="en-US" w:eastAsia="zh-CN"/>
        </w:rPr>
        <w:t> Internet Research, 34(3), 748-783.</w:t>
      </w:r>
    </w:p>
    <w:p w14:paraId="203AD648">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Guo, Y., Zhang, K., &amp; Wang, C. (2022). Way to success: understanding top streamer's popularity and influence from the perspective of source characteristics.</w:t>
      </w:r>
      <w:r>
        <w:rPr>
          <w:rFonts w:hint="default" w:ascii="MHEupperelemsans" w:hAnsi="MHEupperelemsans"/>
          <w:sz w:val="19"/>
          <w:szCs w:val="19"/>
          <w:lang w:val="en-US" w:eastAsia="zh-CN"/>
        </w:rPr>
        <w:t> Journal of Retailing and Consumer Services, 64, 102786.</w:t>
      </w:r>
    </w:p>
    <w:p w14:paraId="1D6AA521">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Li, Y., Li, X., &amp; Cai, J. (2021). How attachment affects user stickiness on live streaming platforms: A socio-technical approach perspective.</w:t>
      </w:r>
      <w:r>
        <w:rPr>
          <w:rFonts w:hint="default" w:ascii="MHEupperelemsans" w:hAnsi="MHEupperelemsans"/>
          <w:sz w:val="19"/>
          <w:szCs w:val="19"/>
          <w:lang w:val="en-US" w:eastAsia="zh-CN"/>
        </w:rPr>
        <w:t> Journal of Retailing and Consumer Services, 60, 102478.</w:t>
      </w:r>
    </w:p>
    <w:p w14:paraId="08BD3BDE">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Momtaz, P. P. (2021). CEO emotions and firm valuation in initial coin offerings: an artificial emotional intelligence approach.</w:t>
      </w:r>
      <w:r>
        <w:rPr>
          <w:rFonts w:hint="default" w:ascii="MHEupperelemsans" w:hAnsi="MHEupperelemsans"/>
          <w:sz w:val="19"/>
          <w:szCs w:val="19"/>
          <w:lang w:val="en-US" w:eastAsia="zh-CN"/>
        </w:rPr>
        <w:t> Strategic Management Journal, 42(3), 558-578.</w:t>
      </w:r>
    </w:p>
    <w:p w14:paraId="226354F5">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Schoofs, L., &amp; Claeys, A. S. (2021). Communicating sadness: The impact of emotional crisis communication on the organizational post-crisis reputation.</w:t>
      </w:r>
      <w:r>
        <w:rPr>
          <w:rFonts w:hint="default" w:ascii="MHEupperelemsans" w:hAnsi="MHEupperelemsans"/>
          <w:sz w:val="19"/>
          <w:szCs w:val="19"/>
          <w:lang w:val="en-US" w:eastAsia="zh-CN"/>
        </w:rPr>
        <w:t> Journal of Business Research, 130, 271-282.</w:t>
      </w:r>
    </w:p>
    <w:p w14:paraId="6CD9F582">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Cohn, J. F., Ambadar, Z., &amp; Ekman, P. (2007). Observer-based measurement of facial expression with the Facial Action Coding System.</w:t>
      </w:r>
      <w:r>
        <w:rPr>
          <w:rFonts w:hint="default" w:ascii="MHEupperelemsans" w:hAnsi="MHEupperelemsans"/>
          <w:sz w:val="19"/>
          <w:szCs w:val="19"/>
          <w:lang w:val="en-US" w:eastAsia="zh-CN"/>
        </w:rPr>
        <w:t> The handbook of emotion elicitation and assessment, 1(3), 203-221.</w:t>
      </w:r>
    </w:p>
    <w:p w14:paraId="4D561CE7">
      <w:pPr>
        <w:spacing w:line="240" w:lineRule="atLeast"/>
        <w:jc w:val="both"/>
        <w:rPr>
          <w:rFonts w:hint="default" w:ascii="MHEupperelemsans" w:hAnsi="MHEupperelemsans"/>
          <w:sz w:val="19"/>
          <w:szCs w:val="19"/>
          <w:lang w:val="en-US" w:eastAsia="zh-CN"/>
        </w:rPr>
      </w:pPr>
      <w:r>
        <w:rPr>
          <w:rFonts w:hint="default" w:ascii="MHEupperelemsans" w:hAnsi="MHEupperelemsans"/>
          <w:sz w:val="19"/>
          <w:szCs w:val="19"/>
          <w:lang w:val="en-US" w:eastAsia="zh-CN"/>
        </w:rPr>
        <w:t>González-Rodríguez, M. R., Díaz-Fernández, M. C., &amp; Gómez, C. P. (2020). Facial-expression recognition: An emergent approach to the measurement of tourist satisfaction through emotions. Telematics and Informatics, 51, 101404.</w:t>
      </w:r>
    </w:p>
    <w:p w14:paraId="0BFB5216">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Oguine, O. C., Oguine, K. J., Bisallah, H. I., &amp; Ofuani, D. (2022). Hybrid facial expression recognition (FER2013) model for real-time emotion classification and prediction.</w:t>
      </w:r>
      <w:r>
        <w:rPr>
          <w:rFonts w:hint="default" w:ascii="MHEupperelemsans" w:hAnsi="MHEupperelemsans"/>
          <w:sz w:val="19"/>
          <w:szCs w:val="19"/>
          <w:lang w:val="en-US" w:eastAsia="zh-CN"/>
        </w:rPr>
        <w:t> arXiv preprint arXiv:2206.09509.</w:t>
      </w:r>
    </w:p>
    <w:p w14:paraId="2EE88F0F">
      <w:pPr>
        <w:spacing w:line="240" w:lineRule="atLeast"/>
        <w:jc w:val="both"/>
        <w:rPr>
          <w:rFonts w:ascii="MHEupperelemsans" w:hAnsi="MHEupperelemsans"/>
          <w:sz w:val="19"/>
          <w:szCs w:val="19"/>
          <w:lang w:val="it-IT"/>
        </w:rPr>
      </w:pPr>
      <w:r>
        <w:rPr>
          <w:rFonts w:ascii="MHEupperelemsans" w:hAnsi="MHEupperelemsans"/>
          <w:sz w:val="19"/>
          <w:szCs w:val="19"/>
          <w:lang w:val="en-US" w:eastAsia="zh-CN"/>
        </w:rPr>
        <w:t>Yap, C. H., Kendrick, C., &amp; Yap, M. H. (2020, November). Samm long videos: A spontaneous facial micro-and macro-expressions dataset. In</w:t>
      </w:r>
      <w:r>
        <w:rPr>
          <w:rFonts w:hint="default" w:ascii="MHEupperelemsans" w:hAnsi="MHEupperelemsans"/>
          <w:sz w:val="19"/>
          <w:szCs w:val="19"/>
          <w:lang w:val="en-US" w:eastAsia="zh-CN"/>
        </w:rPr>
        <w:t> 2020 15th IEEE International Conference on Automatic Face and Gesture Recognition (FG 2020) (pp. 771-776). IEEE.</w:t>
      </w:r>
    </w:p>
    <w:p w14:paraId="130D24D9">
      <w:pPr>
        <w:spacing w:line="240" w:lineRule="atLeast"/>
        <w:jc w:val="both"/>
        <w:rPr>
          <w:rFonts w:hint="default" w:ascii="MHEupperelemsans" w:hAnsi="MHEupperelemsans"/>
          <w:sz w:val="19"/>
          <w:szCs w:val="19"/>
          <w:lang w:val="it-IT" w:eastAsia="zh-CN"/>
        </w:rPr>
      </w:pPr>
      <w:r>
        <w:rPr>
          <w:rFonts w:hint="default" w:ascii="MHEupperelemsans" w:hAnsi="MHEupperelemsans"/>
          <w:sz w:val="19"/>
          <w:szCs w:val="19"/>
          <w:lang w:val="en-US" w:eastAsia="zh-CN"/>
        </w:rPr>
        <w:t>Russell, J. A., &amp; Mehrabian, A. (1977). Evidence for a three-factor theory of emotions. Journal of research in Personality, 11(3), 273-294.</w:t>
      </w:r>
    </w:p>
    <w:sectPr>
      <w:headerReference r:id="rId7" w:type="first"/>
      <w:footerReference r:id="rId10" w:type="first"/>
      <w:headerReference r:id="rId5" w:type="default"/>
      <w:footerReference r:id="rId8" w:type="default"/>
      <w:headerReference r:id="rId6" w:type="even"/>
      <w:footerReference r:id="rId9" w:type="even"/>
      <w:endnotePr>
        <w:numFmt w:val="decimal"/>
      </w:endnotePr>
      <w:pgSz w:w="9979" w:h="14175"/>
      <w:pgMar w:top="1814" w:right="1361" w:bottom="1418" w:left="1361" w:header="964" w:footer="737" w:gutter="0"/>
      <w:pgNumType w:start="1"/>
      <w:cols w:space="720" w:num="1"/>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p>
  </w:endnote>
  <w:endnote w:type="continuationSeparator" w:id="1">
    <w:p>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2010600030101010101"/>
    <w:charset w:val="00"/>
    <w:family w:val="auto"/>
    <w:pitch w:val="default"/>
    <w:sig w:usb0="00000001" w:usb1="080E0000" w:usb2="00000010" w:usb3="00000000" w:csb0="00040000" w:csb1="00000000"/>
  </w:font>
  <w:font w:name="Courier New">
    <w:panose1 w:val="02070409020205090404"/>
    <w:charset w:val="00"/>
    <w:family w:val="modern"/>
    <w:pitch w:val="default"/>
    <w:sig w:usb0="E0000AFF" w:usb1="40007843" w:usb2="00000001" w:usb3="00000000" w:csb0="400001BF" w:csb1="DFF7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0000000000000000000"/>
    <w:charset w:val="86"/>
    <w:family w:val="auto"/>
    <w:pitch w:val="default"/>
    <w:sig w:usb0="00000000" w:usb1="00000000" w:usb2="00000000" w:usb3="00000000" w:csb0="00000000" w:csb1="00000000"/>
  </w:font>
  <w:font w:name="Neutraface 2 Text Bold">
    <w:altName w:val="苹方-简"/>
    <w:panose1 w:val="00000000000000000000"/>
    <w:charset w:val="00"/>
    <w:family w:val="swiss"/>
    <w:pitch w:val="default"/>
    <w:sig w:usb0="00000000" w:usb1="00000000" w:usb2="00000000" w:usb3="00000000" w:csb0="0000009B" w:csb1="00000000"/>
  </w:font>
  <w:font w:name="Tahoma">
    <w:panose1 w:val="020B0604030504040204"/>
    <w:charset w:val="00"/>
    <w:family w:val="swiss"/>
    <w:pitch w:val="default"/>
    <w:sig w:usb0="E1002AFF" w:usb1="C000605B" w:usb2="00000029" w:usb3="00000000" w:csb0="200101FF" w:csb1="20280000"/>
  </w:font>
  <w:font w:name="Book Antiqua">
    <w:altName w:val="苹方-简"/>
    <w:panose1 w:val="02040602050305030304"/>
    <w:charset w:val="00"/>
    <w:family w:val="roman"/>
    <w:pitch w:val="default"/>
    <w:sig w:usb0="00000000" w:usb1="00000000" w:usb2="00000000" w:usb3="00000000" w:csb0="0000009F" w:csb1="00000000"/>
  </w:font>
  <w:font w:name="New York">
    <w:altName w:val="苹方-简"/>
    <w:panose1 w:val="02040503060506020304"/>
    <w:charset w:val="00"/>
    <w:family w:val="roman"/>
    <w:pitch w:val="default"/>
    <w:sig w:usb0="00000000" w:usb1="00000000" w:usb2="00000000" w:usb3="00000000" w:csb0="00000001" w:csb1="00000000"/>
  </w:font>
  <w:font w:name="Times">
    <w:altName w:val="Times New Roman"/>
    <w:panose1 w:val="02020603050405020304"/>
    <w:charset w:val="00"/>
    <w:family w:val="roman"/>
    <w:pitch w:val="default"/>
    <w:sig w:usb0="00000000" w:usb1="00000000" w:usb2="00000009" w:usb3="00000000" w:csb0="000001FF" w:csb1="00000000"/>
  </w:font>
  <w:font w:name="UniMath">
    <w:altName w:val="苹方-简"/>
    <w:panose1 w:val="00000000000000000000"/>
    <w:charset w:val="00"/>
    <w:family w:val="modern"/>
    <w:pitch w:val="default"/>
    <w:sig w:usb0="00000000" w:usb1="00000000" w:usb2="00000000" w:usb3="00000000" w:csb0="00000001" w:csb1="00000000"/>
  </w:font>
  <w:font w:name="Neutraface 2 Text Demi">
    <w:altName w:val="苹方-简"/>
    <w:panose1 w:val="00000000000000000000"/>
    <w:charset w:val="00"/>
    <w:family w:val="swiss"/>
    <w:pitch w:val="default"/>
    <w:sig w:usb0="00000000" w:usb1="00000000" w:usb2="00000000" w:usb3="00000000" w:csb0="0000009B" w:csb1="00000000"/>
  </w:font>
  <w:font w:name="Symbol">
    <w:altName w:val="Kingsoft Sign"/>
    <w:panose1 w:val="05050102010706020507"/>
    <w:charset w:val="02"/>
    <w:family w:val="roman"/>
    <w:pitch w:val="default"/>
    <w:sig w:usb0="00000000" w:usb1="00000000" w:usb2="00000000" w:usb3="00000000" w:csb0="80000000" w:csb1="00000000"/>
  </w:font>
  <w:font w:name="Trebuchet MS">
    <w:panose1 w:val="020B0703020202090204"/>
    <w:charset w:val="00"/>
    <w:family w:val="swiss"/>
    <w:pitch w:val="default"/>
    <w:sig w:usb0="00000287" w:usb1="00000000" w:usb2="00000000" w:usb3="00000000" w:csb0="2000009F" w:csb1="00000000"/>
  </w:font>
  <w:font w:name="Times New Roman Bold">
    <w:panose1 w:val="02020503050405090304"/>
    <w:charset w:val="00"/>
    <w:family w:val="auto"/>
    <w:pitch w:val="default"/>
    <w:sig w:usb0="E0000AFF" w:usb1="00007843" w:usb2="00000001" w:usb3="00000000" w:csb0="400001BF" w:csb1="DFF70000"/>
  </w:font>
  <w:font w:name="Times New Roman Regular">
    <w:panose1 w:val="02020503050405090304"/>
    <w:charset w:val="00"/>
    <w:family w:val="auto"/>
    <w:pitch w:val="default"/>
    <w:sig w:usb0="E0000AFF" w:usb1="00007843" w:usb2="00000001" w:usb3="00000000" w:csb0="400001BF" w:csb1="DFF70000"/>
  </w:font>
  <w:font w:name="MHEupperelemsans">
    <w:altName w:val="苹方-简"/>
    <w:panose1 w:val="02000000000000000000"/>
    <w:charset w:val="00"/>
    <w:family w:val="modern"/>
    <w:pitch w:val="default"/>
    <w:sig w:usb0="00000000" w:usb1="00000000" w:usb2="00000000" w:usb3="00000000" w:csb0="00000001" w:csb1="00000000"/>
  </w:font>
  <w:font w:name="MHEUpperelemensans">
    <w:altName w:val="苹方-简"/>
    <w:panose1 w:val="00000000000000000000"/>
    <w:charset w:val="00"/>
    <w:family w:val="roman"/>
    <w:pitch w:val="default"/>
    <w:sig w:usb0="00000000" w:usb1="00000000" w:usb2="00000000" w:usb3="00000000" w:csb0="00000000" w:csb1="00000000"/>
  </w:font>
  <w:font w:name="SRA Serif 1.1">
    <w:altName w:val="苹方-简"/>
    <w:panose1 w:val="02000503080000020003"/>
    <w:charset w:val="00"/>
    <w:family w:val="modern"/>
    <w:pitch w:val="default"/>
    <w:sig w:usb0="00000000" w:usb1="00000000" w:usb2="00000000" w:usb3="00000000" w:csb0="00000001" w:csb1="00000000"/>
  </w:font>
  <w:font w:name="sans-serif">
    <w:altName w:val="苹方-简"/>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STIX Two Math">
    <w:panose1 w:val="02020603050405020304"/>
    <w:charset w:val="00"/>
    <w:family w:val="auto"/>
    <w:pitch w:val="default"/>
    <w:sig w:usb0="A00002FF" w:usb1="4000FDFF" w:usb2="02000020" w:usb3="00000000" w:csb0="200001FF" w:csb1="DFFF0000"/>
  </w:font>
  <w:font w:name="Kingsoft Sign">
    <w:panose1 w:val="05050102010706020507"/>
    <w:charset w:val="00"/>
    <w:family w:val="auto"/>
    <w:pitch w:val="default"/>
    <w:sig w:usb0="00000000" w:usb1="10000000" w:usb2="00000000" w:usb3="00000000" w:csb0="00000001" w:csb1="0000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汉仪中等线KW">
    <w:panose1 w:val="01010104010101010101"/>
    <w:charset w:val="86"/>
    <w:family w:val="auto"/>
    <w:pitch w:val="default"/>
    <w:sig w:usb0="800002BF" w:usb1="004F7CFA"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0954A">
    <w:pPr>
      <w:pStyle w:val="2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D0A9D">
    <w:pPr>
      <w:pStyle w:val="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46D3F">
    <w:pPr>
      <w:pStyle w:val="2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p>
  </w:footnote>
  <w:footnote w:type="continuationSeparator" w:id="1">
    <w:p>
      <w:pPr>
        <w:spacing w:before="0" w:after="0" w:line="259"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45DB6">
    <w:pPr>
      <w:pStyle w:val="50"/>
      <w:ind w:left="17" w:right="28"/>
      <w:rPr>
        <w:rFonts w:ascii="MHEupperelemsans" w:hAnsi="MHEupperelemsans"/>
        <w:b/>
        <w:szCs w:val="19"/>
      </w:rPr>
    </w:pPr>
    <w:r>
      <w:rPr>
        <w:rStyle w:val="33"/>
        <w:rFonts w:ascii="MHEupperelemsans" w:hAnsi="MHEupperelemsans"/>
        <w:b w:val="0"/>
        <w:bCs/>
        <w:szCs w:val="19"/>
      </w:rPr>
      <w:t>Titolo del capitolo</w:t>
    </w:r>
    <w:r>
      <w:rPr>
        <w:rStyle w:val="33"/>
        <w:rFonts w:ascii="MHEupperelemsans" w:hAnsi="MHEupperelemsans"/>
        <w:szCs w:val="19"/>
      </w:rPr>
      <w:t> </w:t>
    </w:r>
    <w:r>
      <w:rPr>
        <w:rStyle w:val="33"/>
        <w:rFonts w:ascii="MHEupperelemsans" w:hAnsi="MHEupperelemsans"/>
        <w:bCs/>
        <w:szCs w:val="19"/>
      </w:rPr>
      <w:fldChar w:fldCharType="begin"/>
    </w:r>
    <w:r>
      <w:rPr>
        <w:rStyle w:val="33"/>
        <w:rFonts w:ascii="MHEupperelemsans" w:hAnsi="MHEupperelemsans"/>
        <w:bCs/>
        <w:szCs w:val="19"/>
      </w:rPr>
      <w:instrText xml:space="preserve"> PAGE </w:instrText>
    </w:r>
    <w:r>
      <w:rPr>
        <w:rStyle w:val="33"/>
        <w:rFonts w:ascii="MHEupperelemsans" w:hAnsi="MHEupperelemsans"/>
        <w:bCs/>
        <w:szCs w:val="19"/>
      </w:rPr>
      <w:fldChar w:fldCharType="separate"/>
    </w:r>
    <w:r>
      <w:rPr>
        <w:rStyle w:val="33"/>
        <w:rFonts w:ascii="MHEupperelemsans" w:hAnsi="MHEupperelemsans"/>
        <w:bCs/>
        <w:szCs w:val="19"/>
      </w:rPr>
      <w:t>9</w:t>
    </w:r>
    <w:r>
      <w:rPr>
        <w:rStyle w:val="33"/>
        <w:rFonts w:ascii="MHEupperelemsans" w:hAnsi="MHEupperelemsans"/>
        <w:bCs/>
        <w:szCs w:val="19"/>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E263C">
    <w:pPr>
      <w:pStyle w:val="51"/>
      <w:ind w:left="17" w:right="28"/>
      <w:rPr>
        <w:rFonts w:ascii="MHEUpperelemensans" w:hAnsi="MHEUpperelemensans"/>
        <w:b/>
        <w:szCs w:val="19"/>
      </w:rPr>
    </w:pPr>
    <w:r>
      <w:rPr>
        <w:rStyle w:val="33"/>
        <w:rFonts w:ascii="MHEUpperelemensans" w:hAnsi="MHEUpperelemensans"/>
        <w:bCs/>
        <w:szCs w:val="19"/>
      </w:rPr>
      <w:fldChar w:fldCharType="begin"/>
    </w:r>
    <w:r>
      <w:rPr>
        <w:rStyle w:val="33"/>
        <w:rFonts w:ascii="MHEUpperelemensans" w:hAnsi="MHEUpperelemensans"/>
        <w:bCs/>
        <w:szCs w:val="19"/>
      </w:rPr>
      <w:instrText xml:space="preserve"> PAGE </w:instrText>
    </w:r>
    <w:r>
      <w:rPr>
        <w:rStyle w:val="33"/>
        <w:rFonts w:ascii="MHEUpperelemensans" w:hAnsi="MHEUpperelemensans"/>
        <w:bCs/>
        <w:szCs w:val="19"/>
      </w:rPr>
      <w:fldChar w:fldCharType="separate"/>
    </w:r>
    <w:r>
      <w:rPr>
        <w:rStyle w:val="33"/>
        <w:rFonts w:ascii="MHEUpperelemensans" w:hAnsi="MHEUpperelemensans"/>
        <w:bCs/>
        <w:szCs w:val="19"/>
      </w:rPr>
      <w:t>10</w:t>
    </w:r>
    <w:r>
      <w:rPr>
        <w:rStyle w:val="33"/>
        <w:rFonts w:ascii="MHEUpperelemensans" w:hAnsi="MHEUpperelemensans"/>
        <w:bCs/>
        <w:szCs w:val="19"/>
      </w:rPr>
      <w:fldChar w:fldCharType="end"/>
    </w:r>
    <w:r>
      <w:rPr>
        <w:rStyle w:val="33"/>
        <w:rFonts w:ascii="MHEUpperelemensans" w:hAnsi="MHEUpperelemensans"/>
        <w:b w:val="0"/>
        <w:szCs w:val="19"/>
      </w:rPr>
      <w:t> </w:t>
    </w:r>
    <w:r>
      <w:rPr>
        <w:rStyle w:val="33"/>
        <w:rFonts w:ascii="MHEupperelemsans" w:hAnsi="MHEupperelemsans"/>
        <w:b w:val="0"/>
        <w:bCs/>
        <w:szCs w:val="19"/>
      </w:rPr>
      <w:t>Capitolo 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5D5E1">
    <w:pPr>
      <w:pStyle w:val="3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FB"/>
    <w:multiLevelType w:val="multilevel"/>
    <w:tmpl w:val="FFFFFFFB"/>
    <w:lvl w:ilvl="0" w:tentative="0">
      <w:start w:val="1"/>
      <w:numFmt w:val="decimal"/>
      <w:pStyle w:val="2"/>
      <w:lvlText w:val="%1."/>
      <w:legacy w:legacy="1" w:legacySpace="0" w:legacyIndent="0"/>
      <w:lvlJc w:val="left"/>
    </w:lvl>
    <w:lvl w:ilvl="1" w:tentative="0">
      <w:start w:val="1"/>
      <w:numFmt w:val="decimal"/>
      <w:lvlText w:val="%1.%2"/>
      <w:legacy w:legacy="1" w:legacySpace="0" w:legacyIndent="0"/>
      <w:lvlJc w:val="left"/>
    </w:lvl>
    <w:lvl w:ilvl="2" w:tentative="0">
      <w:start w:val="1"/>
      <w:numFmt w:val="decimal"/>
      <w:lvlText w:val="%1.%2.%3"/>
      <w:legacy w:legacy="1" w:legacySpace="0" w:legacyIndent="0"/>
      <w:lvlJc w:val="left"/>
    </w:lvl>
    <w:lvl w:ilvl="3" w:tentative="0">
      <w:start w:val="1"/>
      <w:numFmt w:val="decimal"/>
      <w:lvlText w:val="%1.%2.%3.%4"/>
      <w:legacy w:legacy="1" w:legacySpace="0" w:legacyIndent="0"/>
      <w:lvlJc w:val="left"/>
    </w:lvl>
    <w:lvl w:ilvl="4" w:tentative="0">
      <w:start w:val="1"/>
      <w:numFmt w:val="decimal"/>
      <w:lvlText w:val="%1.%2.%3.%4.%5"/>
      <w:legacy w:legacy="1" w:legacySpace="0" w:legacyIndent="0"/>
      <w:lvlJc w:val="left"/>
    </w:lvl>
    <w:lvl w:ilvl="5" w:tentative="0">
      <w:start w:val="1"/>
      <w:numFmt w:val="decimal"/>
      <w:pStyle w:val="7"/>
      <w:lvlText w:val="%1.%2.%3.%4.%5.%6"/>
      <w:legacy w:legacy="1" w:legacySpace="0" w:legacyIndent="0"/>
      <w:lvlJc w:val="left"/>
    </w:lvl>
    <w:lvl w:ilvl="6" w:tentative="0">
      <w:start w:val="1"/>
      <w:numFmt w:val="decimal"/>
      <w:pStyle w:val="8"/>
      <w:lvlText w:val="%1.%2.%3.%4.%5.%6.%7"/>
      <w:legacy w:legacy="1" w:legacySpace="0" w:legacyIndent="0"/>
      <w:lvlJc w:val="left"/>
    </w:lvl>
    <w:lvl w:ilvl="7" w:tentative="0">
      <w:start w:val="1"/>
      <w:numFmt w:val="decimal"/>
      <w:pStyle w:val="9"/>
      <w:lvlText w:val="%1.%2.%3.%4.%5.%6.%7.%8."/>
      <w:legacy w:legacy="1" w:legacySpace="0" w:legacyIndent="0"/>
      <w:lvlJc w:val="left"/>
    </w:lvl>
    <w:lvl w:ilvl="8" w:tentative="0">
      <w:start w:val="1"/>
      <w:numFmt w:val="decimal"/>
      <w:pStyle w:val="10"/>
      <w:lvlText w:val="%1.%2.%3.%4.%5.%6.%7.%8.%9"/>
      <w:legacy w:legacy="1" w:legacySpace="0" w:legacyIndent="0"/>
      <w:lvlJc w:val="left"/>
    </w:lvl>
  </w:abstractNum>
  <w:abstractNum w:abstractNumId="1">
    <w:nsid w:val="044E4B4A"/>
    <w:multiLevelType w:val="multilevel"/>
    <w:tmpl w:val="044E4B4A"/>
    <w:lvl w:ilvl="0" w:tentative="0">
      <w:start w:val="1"/>
      <w:numFmt w:val="decimal"/>
      <w:pStyle w:val="84"/>
      <w:lvlText w:val="%1)"/>
      <w:lvlJc w:val="left"/>
      <w:pPr>
        <w:tabs>
          <w:tab w:val="left" w:pos="644"/>
        </w:tabs>
        <w:ind w:left="0" w:firstLine="284"/>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
    <w:nsid w:val="06A050D4"/>
    <w:multiLevelType w:val="multilevel"/>
    <w:tmpl w:val="06A050D4"/>
    <w:lvl w:ilvl="0" w:tentative="0">
      <w:start w:val="1"/>
      <w:numFmt w:val="decimal"/>
      <w:pStyle w:val="77"/>
      <w:lvlText w:val="%1."/>
      <w:lvlJc w:val="left"/>
      <w:pPr>
        <w:tabs>
          <w:tab w:val="left" w:pos="360"/>
        </w:tabs>
        <w:ind w:left="284" w:hanging="284"/>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0936191A"/>
    <w:multiLevelType w:val="multilevel"/>
    <w:tmpl w:val="0936191A"/>
    <w:lvl w:ilvl="0" w:tentative="0">
      <w:start w:val="1"/>
      <w:numFmt w:val="bullet"/>
      <w:pStyle w:val="82"/>
      <w:lvlText w:val=""/>
      <w:lvlJc w:val="left"/>
      <w:pPr>
        <w:tabs>
          <w:tab w:val="left" w:pos="360"/>
        </w:tabs>
        <w:ind w:left="284" w:hanging="284"/>
      </w:pPr>
      <w:rPr>
        <w:rFonts w:hint="default" w:ascii="Symbol" w:hAnsi="Symbol"/>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4">
    <w:nsid w:val="24452C24"/>
    <w:multiLevelType w:val="singleLevel"/>
    <w:tmpl w:val="24452C24"/>
    <w:lvl w:ilvl="0" w:tentative="0">
      <w:start w:val="1"/>
      <w:numFmt w:val="decimal"/>
      <w:pStyle w:val="80"/>
      <w:lvlText w:val="%1"/>
      <w:lvlJc w:val="left"/>
      <w:pPr>
        <w:tabs>
          <w:tab w:val="left" w:pos="360"/>
        </w:tabs>
        <w:ind w:left="340" w:hanging="340"/>
      </w:pPr>
      <w:rPr>
        <w:b/>
        <w:i w:val="0"/>
      </w:rPr>
    </w:lvl>
  </w:abstractNum>
  <w:abstractNum w:abstractNumId="5">
    <w:nsid w:val="284F0EBD"/>
    <w:multiLevelType w:val="singleLevel"/>
    <w:tmpl w:val="284F0EBD"/>
    <w:lvl w:ilvl="0" w:tentative="0">
      <w:start w:val="1"/>
      <w:numFmt w:val="lowerLetter"/>
      <w:pStyle w:val="83"/>
      <w:lvlText w:val="%1)"/>
      <w:lvlJc w:val="left"/>
      <w:pPr>
        <w:tabs>
          <w:tab w:val="left" w:pos="360"/>
        </w:tabs>
        <w:ind w:left="284" w:hanging="284"/>
      </w:pPr>
      <w:rPr>
        <w:rFonts w:hint="default"/>
      </w:rPr>
    </w:lvl>
  </w:abstractNum>
  <w:abstractNum w:abstractNumId="6">
    <w:nsid w:val="2E331EDA"/>
    <w:multiLevelType w:val="multilevel"/>
    <w:tmpl w:val="2E331EDA"/>
    <w:lvl w:ilvl="0" w:tentative="0">
      <w:start w:val="1"/>
      <w:numFmt w:val="lowerLetter"/>
      <w:pStyle w:val="61"/>
      <w:lvlText w:val="%1)"/>
      <w:lvlJc w:val="left"/>
      <w:pPr>
        <w:tabs>
          <w:tab w:val="left" w:pos="644"/>
        </w:tabs>
        <w:ind w:left="0" w:firstLine="284"/>
      </w:pPr>
      <w:rPr>
        <w:rFonts w:hint="default"/>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7">
    <w:nsid w:val="35D311C8"/>
    <w:multiLevelType w:val="singleLevel"/>
    <w:tmpl w:val="35D311C8"/>
    <w:lvl w:ilvl="0" w:tentative="0">
      <w:start w:val="1"/>
      <w:numFmt w:val="bullet"/>
      <w:pStyle w:val="59"/>
      <w:lvlText w:val=""/>
      <w:lvlJc w:val="left"/>
      <w:pPr>
        <w:tabs>
          <w:tab w:val="left" w:pos="360"/>
        </w:tabs>
        <w:ind w:left="284" w:hanging="284"/>
      </w:pPr>
      <w:rPr>
        <w:rFonts w:hint="default" w:ascii="Symbol" w:hAnsi="Symbol"/>
        <w:color w:val="auto"/>
        <w:sz w:val="22"/>
      </w:rPr>
    </w:lvl>
  </w:abstractNum>
  <w:abstractNum w:abstractNumId="8">
    <w:nsid w:val="5C4A5D55"/>
    <w:multiLevelType w:val="multilevel"/>
    <w:tmpl w:val="5C4A5D55"/>
    <w:lvl w:ilvl="0" w:tentative="0">
      <w:start w:val="1"/>
      <w:numFmt w:val="bullet"/>
      <w:lvlText w:val=""/>
      <w:lvlJc w:val="left"/>
      <w:pPr>
        <w:tabs>
          <w:tab w:val="left" w:pos="284"/>
        </w:tabs>
        <w:ind w:left="284" w:hanging="284"/>
      </w:pPr>
      <w:rPr>
        <w:rFonts w:hint="default" w:ascii="Symbol" w:hAnsi="Symbol"/>
      </w:rPr>
    </w:lvl>
    <w:lvl w:ilvl="1" w:tentative="0">
      <w:start w:val="1"/>
      <w:numFmt w:val="bullet"/>
      <w:lvlText w:val=""/>
      <w:lvlJc w:val="left"/>
      <w:pPr>
        <w:tabs>
          <w:tab w:val="left" w:pos="284"/>
        </w:tabs>
        <w:ind w:left="284" w:hanging="284"/>
      </w:pPr>
      <w:rPr>
        <w:rFonts w:hint="default" w:ascii="Symbol" w:hAnsi="Symbol"/>
      </w:rPr>
    </w:lvl>
    <w:lvl w:ilvl="2" w:tentative="0">
      <w:start w:val="1"/>
      <w:numFmt w:val="bullet"/>
      <w:lvlText w:val=""/>
      <w:lvlJc w:val="left"/>
      <w:pPr>
        <w:tabs>
          <w:tab w:val="left" w:pos="2444"/>
        </w:tabs>
        <w:ind w:left="2444" w:hanging="360"/>
      </w:pPr>
      <w:rPr>
        <w:rFonts w:hint="default" w:ascii="Wingdings" w:hAnsi="Wingdings"/>
      </w:rPr>
    </w:lvl>
    <w:lvl w:ilvl="3" w:tentative="0">
      <w:start w:val="1"/>
      <w:numFmt w:val="bullet"/>
      <w:lvlText w:val=""/>
      <w:lvlJc w:val="left"/>
      <w:pPr>
        <w:tabs>
          <w:tab w:val="left" w:pos="3164"/>
        </w:tabs>
        <w:ind w:left="3164" w:hanging="360"/>
      </w:pPr>
      <w:rPr>
        <w:rFonts w:hint="default" w:ascii="Symbol" w:hAnsi="Symbol"/>
      </w:rPr>
    </w:lvl>
    <w:lvl w:ilvl="4" w:tentative="0">
      <w:start w:val="1"/>
      <w:numFmt w:val="bullet"/>
      <w:lvlText w:val="o"/>
      <w:lvlJc w:val="left"/>
      <w:pPr>
        <w:tabs>
          <w:tab w:val="left" w:pos="3884"/>
        </w:tabs>
        <w:ind w:left="3884" w:hanging="360"/>
      </w:pPr>
      <w:rPr>
        <w:rFonts w:hint="default" w:ascii="Courier New" w:hAnsi="Courier New" w:cs="Courier New"/>
      </w:rPr>
    </w:lvl>
    <w:lvl w:ilvl="5" w:tentative="0">
      <w:start w:val="1"/>
      <w:numFmt w:val="bullet"/>
      <w:lvlText w:val=""/>
      <w:lvlJc w:val="left"/>
      <w:pPr>
        <w:tabs>
          <w:tab w:val="left" w:pos="4604"/>
        </w:tabs>
        <w:ind w:left="4604" w:hanging="360"/>
      </w:pPr>
      <w:rPr>
        <w:rFonts w:hint="default" w:ascii="Wingdings" w:hAnsi="Wingdings"/>
      </w:rPr>
    </w:lvl>
    <w:lvl w:ilvl="6" w:tentative="0">
      <w:start w:val="1"/>
      <w:numFmt w:val="bullet"/>
      <w:lvlText w:val=""/>
      <w:lvlJc w:val="left"/>
      <w:pPr>
        <w:tabs>
          <w:tab w:val="left" w:pos="5324"/>
        </w:tabs>
        <w:ind w:left="5324" w:hanging="360"/>
      </w:pPr>
      <w:rPr>
        <w:rFonts w:hint="default" w:ascii="Symbol" w:hAnsi="Symbol"/>
      </w:rPr>
    </w:lvl>
    <w:lvl w:ilvl="7" w:tentative="0">
      <w:start w:val="1"/>
      <w:numFmt w:val="bullet"/>
      <w:lvlText w:val="o"/>
      <w:lvlJc w:val="left"/>
      <w:pPr>
        <w:tabs>
          <w:tab w:val="left" w:pos="6044"/>
        </w:tabs>
        <w:ind w:left="6044" w:hanging="360"/>
      </w:pPr>
      <w:rPr>
        <w:rFonts w:hint="default" w:ascii="Courier New" w:hAnsi="Courier New" w:cs="Courier New"/>
      </w:rPr>
    </w:lvl>
    <w:lvl w:ilvl="8" w:tentative="0">
      <w:start w:val="1"/>
      <w:numFmt w:val="bullet"/>
      <w:lvlText w:val=""/>
      <w:lvlJc w:val="left"/>
      <w:pPr>
        <w:tabs>
          <w:tab w:val="left" w:pos="6764"/>
        </w:tabs>
        <w:ind w:left="6764" w:hanging="360"/>
      </w:pPr>
      <w:rPr>
        <w:rFonts w:hint="default" w:ascii="Wingdings" w:hAnsi="Wingdings"/>
      </w:rPr>
    </w:lvl>
  </w:abstractNum>
  <w:abstractNum w:abstractNumId="9">
    <w:nsid w:val="5FFF8CA0"/>
    <w:multiLevelType w:val="multilevel"/>
    <w:tmpl w:val="5FFF8CA0"/>
    <w:lvl w:ilvl="0" w:tentative="0">
      <w:start w:val="1"/>
      <w:numFmt w:val="decimal"/>
      <w:lvlText w:val="%1"/>
      <w:lvlJc w:val="left"/>
      <w:pPr>
        <w:tabs>
          <w:tab w:val="left" w:pos="312"/>
        </w:tabs>
        <w:ind w:left="0" w:leftChars="0" w:firstLine="0" w:firstLineChars="0"/>
      </w:pPr>
      <w:rPr>
        <w:rFonts w:hint="default"/>
      </w:rPr>
    </w:lvl>
    <w:lvl w:ilvl="1" w:tentative="0">
      <w:start w:val="1"/>
      <w:numFmt w:val="decimal"/>
      <w:lvlText w:val="%1.%2"/>
      <w:lvlJc w:val="left"/>
      <w:pPr>
        <w:tabs>
          <w:tab w:val="left" w:pos="312"/>
        </w:tabs>
        <w:ind w:left="0" w:leftChars="0" w:firstLine="0" w:firstLineChars="0"/>
      </w:pPr>
      <w:rPr>
        <w:rFonts w:hint="default"/>
      </w:rPr>
    </w:lvl>
    <w:lvl w:ilvl="2" w:tentative="0">
      <w:start w:val="1"/>
      <w:numFmt w:val="decimal"/>
      <w:lvlText w:val="%1.%2.%3"/>
      <w:lvlJc w:val="left"/>
      <w:pPr>
        <w:tabs>
          <w:tab w:val="left" w:pos="312"/>
        </w:tabs>
        <w:ind w:left="0" w:leftChars="0" w:firstLine="0" w:firstLineChars="0"/>
      </w:pPr>
      <w:rPr>
        <w:rFonts w:hint="default"/>
      </w:rPr>
    </w:lvl>
    <w:lvl w:ilvl="3" w:tentative="0">
      <w:start w:val="1"/>
      <w:numFmt w:val="decimal"/>
      <w:lvlText w:val="%1.%2.%3.%4"/>
      <w:lvlJc w:val="left"/>
      <w:pPr>
        <w:tabs>
          <w:tab w:val="left" w:pos="312"/>
        </w:tabs>
        <w:ind w:left="0" w:leftChars="0" w:firstLine="0" w:firstLineChars="0"/>
      </w:pPr>
      <w:rPr>
        <w:rFonts w:hint="default"/>
      </w:rPr>
    </w:lvl>
    <w:lvl w:ilvl="4" w:tentative="0">
      <w:start w:val="1"/>
      <w:numFmt w:val="decimal"/>
      <w:lvlText w:val="%1.%2.%3.%4.%5"/>
      <w:lvlJc w:val="left"/>
      <w:pPr>
        <w:tabs>
          <w:tab w:val="left" w:pos="312"/>
        </w:tabs>
        <w:ind w:left="0" w:leftChars="0" w:firstLine="0" w:firstLineChars="0"/>
      </w:pPr>
      <w:rPr>
        <w:rFonts w:hint="default"/>
      </w:rPr>
    </w:lvl>
    <w:lvl w:ilvl="5" w:tentative="0">
      <w:start w:val="1"/>
      <w:numFmt w:val="decimal"/>
      <w:lvlText w:val="%1.%2.%3.%4.%5.%6"/>
      <w:lvlJc w:val="left"/>
      <w:pPr>
        <w:tabs>
          <w:tab w:val="left" w:pos="312"/>
        </w:tabs>
        <w:ind w:left="0" w:leftChars="0" w:firstLine="0" w:firstLineChars="0"/>
      </w:pPr>
      <w:rPr>
        <w:rFonts w:hint="default"/>
      </w:rPr>
    </w:lvl>
    <w:lvl w:ilvl="6" w:tentative="0">
      <w:start w:val="1"/>
      <w:numFmt w:val="decimal"/>
      <w:lvlText w:val="%1.%2.%3.%4.%5.%6.%7"/>
      <w:lvlJc w:val="left"/>
      <w:pPr>
        <w:tabs>
          <w:tab w:val="left" w:pos="312"/>
        </w:tabs>
        <w:ind w:left="0" w:leftChars="0" w:firstLine="0" w:firstLineChars="0"/>
      </w:pPr>
      <w:rPr>
        <w:rFonts w:hint="default"/>
      </w:rPr>
    </w:lvl>
    <w:lvl w:ilvl="7" w:tentative="0">
      <w:start w:val="1"/>
      <w:numFmt w:val="decimal"/>
      <w:lvlText w:val="%1.%2.%3.%4.%5.%6.%7.%8"/>
      <w:lvlJc w:val="left"/>
      <w:pPr>
        <w:tabs>
          <w:tab w:val="left" w:pos="312"/>
        </w:tabs>
        <w:ind w:left="0" w:leftChars="0" w:firstLine="0" w:firstLineChars="0"/>
      </w:pPr>
      <w:rPr>
        <w:rFonts w:hint="default"/>
      </w:rPr>
    </w:lvl>
    <w:lvl w:ilvl="8" w:tentative="0">
      <w:start w:val="1"/>
      <w:numFmt w:val="decimal"/>
      <w:lvlText w:val="%1.%2.%3.%4.%5.%6.%7.%8.%9"/>
      <w:lvlJc w:val="left"/>
      <w:pPr>
        <w:tabs>
          <w:tab w:val="left" w:pos="312"/>
        </w:tabs>
        <w:ind w:left="0" w:leftChars="0" w:firstLine="0" w:firstLineChars="0"/>
      </w:pPr>
      <w:rPr>
        <w:rFonts w:hint="default"/>
      </w:rPr>
    </w:lvl>
  </w:abstractNum>
  <w:abstractNum w:abstractNumId="10">
    <w:nsid w:val="76F852F2"/>
    <w:multiLevelType w:val="singleLevel"/>
    <w:tmpl w:val="76F852F2"/>
    <w:lvl w:ilvl="0" w:tentative="0">
      <w:start w:val="1"/>
      <w:numFmt w:val="bullet"/>
      <w:pStyle w:val="64"/>
      <w:lvlText w:val=""/>
      <w:lvlJc w:val="left"/>
      <w:pPr>
        <w:tabs>
          <w:tab w:val="left" w:pos="360"/>
        </w:tabs>
        <w:ind w:left="360" w:hanging="360"/>
      </w:pPr>
      <w:rPr>
        <w:rFonts w:hint="default" w:ascii="Symbol" w:hAnsi="Symbol"/>
      </w:rPr>
    </w:lvl>
  </w:abstractNum>
  <w:num w:numId="1">
    <w:abstractNumId w:val="0"/>
  </w:num>
  <w:num w:numId="2">
    <w:abstractNumId w:val="7"/>
  </w:num>
  <w:num w:numId="3">
    <w:abstractNumId w:val="6"/>
  </w:num>
  <w:num w:numId="4">
    <w:abstractNumId w:val="10"/>
  </w:num>
  <w:num w:numId="5">
    <w:abstractNumId w:val="2"/>
  </w:num>
  <w:num w:numId="6">
    <w:abstractNumId w:val="4"/>
  </w:num>
  <w:num w:numId="7">
    <w:abstractNumId w:val="3"/>
  </w:num>
  <w:num w:numId="8">
    <w:abstractNumId w:val="5"/>
    <w:lvlOverride w:ilvl="0">
      <w:startOverride w:val="1"/>
    </w:lvlOverride>
  </w:num>
  <w:num w:numId="9">
    <w:abstractNumId w:val="1"/>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doNotDisplayPageBoundaries w:val="1"/>
  <w:bordersDoNotSurroundHeader w:val="0"/>
  <w:bordersDoNotSurroundFooter w:val="0"/>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9"/>
  <w:autoHyphenation/>
  <w:hyphenationZone w:val="284"/>
  <w:doNotHyphenateCaps/>
  <w:evenAndOddHeaders w:val="1"/>
  <w:drawingGridHorizontalSpacing w:val="181"/>
  <w:drawingGridVerticalSpacing w:val="181"/>
  <w:displayHorizontalDrawingGridEvery w:val="1"/>
  <w:displayVerticalDrawingGridEvery w:val="1"/>
  <w:doNotUseMarginsForDrawingGridOrigin w:val="1"/>
  <w:drawingGridHorizontalOrigin w:val="1800"/>
  <w:drawingGridVerticalOrigin w:val="1985"/>
  <w:noPunctuationKerning w:val="1"/>
  <w:characterSpacingControl w:val="doNotCompress"/>
  <w:footnotePr>
    <w:footnote w:id="0"/>
    <w:footnote w:id="1"/>
  </w:footnotePr>
  <w:endnotePr>
    <w:numFmt w:val="decimal"/>
    <w:endnote w:id="0"/>
    <w:endnote w:id="1"/>
  </w:endnotePr>
  <w:compat>
    <w:balanceSingleByteDoubleByteWidth/>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3ZjE0ZmMzOWVhMTIxYjM3ZTBjMzMyYjIzMTE5ZTIifQ=="/>
  </w:docVars>
  <w:rsids>
    <w:rsidRoot w:val="00C75CA1"/>
    <w:rsid w:val="000017E2"/>
    <w:rsid w:val="00005922"/>
    <w:rsid w:val="0001357B"/>
    <w:rsid w:val="00013630"/>
    <w:rsid w:val="0001471B"/>
    <w:rsid w:val="00014A4D"/>
    <w:rsid w:val="0002058F"/>
    <w:rsid w:val="00023181"/>
    <w:rsid w:val="00025313"/>
    <w:rsid w:val="0003746A"/>
    <w:rsid w:val="000426E7"/>
    <w:rsid w:val="000438C1"/>
    <w:rsid w:val="00047DE9"/>
    <w:rsid w:val="00051FC7"/>
    <w:rsid w:val="000575BD"/>
    <w:rsid w:val="00060489"/>
    <w:rsid w:val="000665BE"/>
    <w:rsid w:val="00073187"/>
    <w:rsid w:val="00075010"/>
    <w:rsid w:val="000800CA"/>
    <w:rsid w:val="000932B9"/>
    <w:rsid w:val="0009700E"/>
    <w:rsid w:val="000A26BF"/>
    <w:rsid w:val="000A6757"/>
    <w:rsid w:val="000A6A47"/>
    <w:rsid w:val="000C302C"/>
    <w:rsid w:val="000C6BB7"/>
    <w:rsid w:val="000D6947"/>
    <w:rsid w:val="000E44D1"/>
    <w:rsid w:val="000F6911"/>
    <w:rsid w:val="0010041B"/>
    <w:rsid w:val="00101788"/>
    <w:rsid w:val="00107CF5"/>
    <w:rsid w:val="00113181"/>
    <w:rsid w:val="001134A3"/>
    <w:rsid w:val="001326F5"/>
    <w:rsid w:val="001368C2"/>
    <w:rsid w:val="00137152"/>
    <w:rsid w:val="00142101"/>
    <w:rsid w:val="00146928"/>
    <w:rsid w:val="00146AB9"/>
    <w:rsid w:val="0015422B"/>
    <w:rsid w:val="00170E09"/>
    <w:rsid w:val="001716B6"/>
    <w:rsid w:val="001842B3"/>
    <w:rsid w:val="0018679F"/>
    <w:rsid w:val="00187A05"/>
    <w:rsid w:val="00191EC8"/>
    <w:rsid w:val="001968AD"/>
    <w:rsid w:val="001A1149"/>
    <w:rsid w:val="001A63BF"/>
    <w:rsid w:val="001B1A73"/>
    <w:rsid w:val="001B3391"/>
    <w:rsid w:val="001B5317"/>
    <w:rsid w:val="001B541F"/>
    <w:rsid w:val="001D2D61"/>
    <w:rsid w:val="001D438F"/>
    <w:rsid w:val="001E0C16"/>
    <w:rsid w:val="001E1598"/>
    <w:rsid w:val="001F3675"/>
    <w:rsid w:val="00202D39"/>
    <w:rsid w:val="00210656"/>
    <w:rsid w:val="00213EFF"/>
    <w:rsid w:val="00215158"/>
    <w:rsid w:val="00221D71"/>
    <w:rsid w:val="00227212"/>
    <w:rsid w:val="002315DA"/>
    <w:rsid w:val="0023726C"/>
    <w:rsid w:val="002654D8"/>
    <w:rsid w:val="00266C9E"/>
    <w:rsid w:val="002718BF"/>
    <w:rsid w:val="002801DF"/>
    <w:rsid w:val="00280481"/>
    <w:rsid w:val="00285042"/>
    <w:rsid w:val="00286E8E"/>
    <w:rsid w:val="0029233A"/>
    <w:rsid w:val="002A00B6"/>
    <w:rsid w:val="002A6FB2"/>
    <w:rsid w:val="002B1A41"/>
    <w:rsid w:val="002C503D"/>
    <w:rsid w:val="002C5F9C"/>
    <w:rsid w:val="002D7140"/>
    <w:rsid w:val="002E79A6"/>
    <w:rsid w:val="002F2D6E"/>
    <w:rsid w:val="003046AF"/>
    <w:rsid w:val="003114A7"/>
    <w:rsid w:val="00313B41"/>
    <w:rsid w:val="0031554D"/>
    <w:rsid w:val="00320709"/>
    <w:rsid w:val="00324EED"/>
    <w:rsid w:val="00341617"/>
    <w:rsid w:val="00345C5F"/>
    <w:rsid w:val="0035658A"/>
    <w:rsid w:val="0038583C"/>
    <w:rsid w:val="00386743"/>
    <w:rsid w:val="00386CD2"/>
    <w:rsid w:val="00391412"/>
    <w:rsid w:val="003926E8"/>
    <w:rsid w:val="00393BE0"/>
    <w:rsid w:val="0039632E"/>
    <w:rsid w:val="003976B0"/>
    <w:rsid w:val="003A3AC1"/>
    <w:rsid w:val="003B5D2C"/>
    <w:rsid w:val="003C7BF3"/>
    <w:rsid w:val="003D5344"/>
    <w:rsid w:val="003E07A7"/>
    <w:rsid w:val="003E7FC2"/>
    <w:rsid w:val="003F1367"/>
    <w:rsid w:val="004025AC"/>
    <w:rsid w:val="00403268"/>
    <w:rsid w:val="00405961"/>
    <w:rsid w:val="00405E31"/>
    <w:rsid w:val="004104CC"/>
    <w:rsid w:val="00415C5C"/>
    <w:rsid w:val="00424922"/>
    <w:rsid w:val="0043242E"/>
    <w:rsid w:val="00433B73"/>
    <w:rsid w:val="00434E05"/>
    <w:rsid w:val="004354B5"/>
    <w:rsid w:val="004402B8"/>
    <w:rsid w:val="00443AA0"/>
    <w:rsid w:val="00452FDD"/>
    <w:rsid w:val="00455AE0"/>
    <w:rsid w:val="00456146"/>
    <w:rsid w:val="0045705D"/>
    <w:rsid w:val="004570F8"/>
    <w:rsid w:val="00457BED"/>
    <w:rsid w:val="00463100"/>
    <w:rsid w:val="0047574B"/>
    <w:rsid w:val="00476AE9"/>
    <w:rsid w:val="0048071F"/>
    <w:rsid w:val="0049031D"/>
    <w:rsid w:val="0049048B"/>
    <w:rsid w:val="004935E2"/>
    <w:rsid w:val="0049464C"/>
    <w:rsid w:val="0049792C"/>
    <w:rsid w:val="004A49F9"/>
    <w:rsid w:val="004A7E47"/>
    <w:rsid w:val="004B0620"/>
    <w:rsid w:val="004B4DE1"/>
    <w:rsid w:val="004B69EE"/>
    <w:rsid w:val="004C49DD"/>
    <w:rsid w:val="004C6C5D"/>
    <w:rsid w:val="004C6C82"/>
    <w:rsid w:val="004D41E6"/>
    <w:rsid w:val="004D50F1"/>
    <w:rsid w:val="004E70B4"/>
    <w:rsid w:val="004F7551"/>
    <w:rsid w:val="005153BB"/>
    <w:rsid w:val="005202B6"/>
    <w:rsid w:val="00521E51"/>
    <w:rsid w:val="00522FA4"/>
    <w:rsid w:val="00541AC2"/>
    <w:rsid w:val="005617CD"/>
    <w:rsid w:val="00563856"/>
    <w:rsid w:val="0057336B"/>
    <w:rsid w:val="005819B7"/>
    <w:rsid w:val="005917A7"/>
    <w:rsid w:val="005A0719"/>
    <w:rsid w:val="005A2AC0"/>
    <w:rsid w:val="005A3E19"/>
    <w:rsid w:val="005A6D4D"/>
    <w:rsid w:val="005A7195"/>
    <w:rsid w:val="005A792F"/>
    <w:rsid w:val="005B210C"/>
    <w:rsid w:val="005B3FEE"/>
    <w:rsid w:val="005C1A74"/>
    <w:rsid w:val="005C35A7"/>
    <w:rsid w:val="005C5AFB"/>
    <w:rsid w:val="005E4B4D"/>
    <w:rsid w:val="005F015C"/>
    <w:rsid w:val="005F3F5A"/>
    <w:rsid w:val="005F5FA8"/>
    <w:rsid w:val="00601997"/>
    <w:rsid w:val="00602C61"/>
    <w:rsid w:val="00604013"/>
    <w:rsid w:val="006049AC"/>
    <w:rsid w:val="00605EB3"/>
    <w:rsid w:val="006159AB"/>
    <w:rsid w:val="00616DA5"/>
    <w:rsid w:val="00623BD9"/>
    <w:rsid w:val="00623DCE"/>
    <w:rsid w:val="00624529"/>
    <w:rsid w:val="00631547"/>
    <w:rsid w:val="00631B47"/>
    <w:rsid w:val="00631D49"/>
    <w:rsid w:val="00633481"/>
    <w:rsid w:val="006415A6"/>
    <w:rsid w:val="00647705"/>
    <w:rsid w:val="00651402"/>
    <w:rsid w:val="0069229A"/>
    <w:rsid w:val="006949D0"/>
    <w:rsid w:val="006955E4"/>
    <w:rsid w:val="006A235D"/>
    <w:rsid w:val="006A57C5"/>
    <w:rsid w:val="006B0451"/>
    <w:rsid w:val="006D7720"/>
    <w:rsid w:val="006F1493"/>
    <w:rsid w:val="007104A8"/>
    <w:rsid w:val="0071125D"/>
    <w:rsid w:val="00713698"/>
    <w:rsid w:val="00713E18"/>
    <w:rsid w:val="00715964"/>
    <w:rsid w:val="00717914"/>
    <w:rsid w:val="00722322"/>
    <w:rsid w:val="0073167B"/>
    <w:rsid w:val="0073216F"/>
    <w:rsid w:val="00736862"/>
    <w:rsid w:val="0073694F"/>
    <w:rsid w:val="00737A5F"/>
    <w:rsid w:val="00740224"/>
    <w:rsid w:val="00750666"/>
    <w:rsid w:val="00752518"/>
    <w:rsid w:val="00753B35"/>
    <w:rsid w:val="00764FD5"/>
    <w:rsid w:val="00777C53"/>
    <w:rsid w:val="007828DA"/>
    <w:rsid w:val="00782A5F"/>
    <w:rsid w:val="00782EDC"/>
    <w:rsid w:val="00785476"/>
    <w:rsid w:val="00786C6B"/>
    <w:rsid w:val="0079742F"/>
    <w:rsid w:val="007B24C1"/>
    <w:rsid w:val="007C00D6"/>
    <w:rsid w:val="007C34E7"/>
    <w:rsid w:val="007C3A32"/>
    <w:rsid w:val="007D203E"/>
    <w:rsid w:val="007D2805"/>
    <w:rsid w:val="007D7951"/>
    <w:rsid w:val="007F1DCB"/>
    <w:rsid w:val="008017BB"/>
    <w:rsid w:val="00804131"/>
    <w:rsid w:val="00805AA4"/>
    <w:rsid w:val="00807DCE"/>
    <w:rsid w:val="00817A96"/>
    <w:rsid w:val="008246DA"/>
    <w:rsid w:val="00832B05"/>
    <w:rsid w:val="00836020"/>
    <w:rsid w:val="00844962"/>
    <w:rsid w:val="0085548E"/>
    <w:rsid w:val="00856645"/>
    <w:rsid w:val="00863CFB"/>
    <w:rsid w:val="008730B4"/>
    <w:rsid w:val="00875633"/>
    <w:rsid w:val="00875BA5"/>
    <w:rsid w:val="00880604"/>
    <w:rsid w:val="008A51A0"/>
    <w:rsid w:val="008A57EB"/>
    <w:rsid w:val="008B0E32"/>
    <w:rsid w:val="008B61C5"/>
    <w:rsid w:val="008B7A59"/>
    <w:rsid w:val="008C1E72"/>
    <w:rsid w:val="008C2A3C"/>
    <w:rsid w:val="008C5E11"/>
    <w:rsid w:val="008D416B"/>
    <w:rsid w:val="008D4CD4"/>
    <w:rsid w:val="008D7014"/>
    <w:rsid w:val="008E1BB2"/>
    <w:rsid w:val="008E259E"/>
    <w:rsid w:val="008E38A6"/>
    <w:rsid w:val="008F27BC"/>
    <w:rsid w:val="008F2AE2"/>
    <w:rsid w:val="008F77E6"/>
    <w:rsid w:val="00901727"/>
    <w:rsid w:val="0090408C"/>
    <w:rsid w:val="00905115"/>
    <w:rsid w:val="009111B6"/>
    <w:rsid w:val="0091175F"/>
    <w:rsid w:val="0092712D"/>
    <w:rsid w:val="00932E7A"/>
    <w:rsid w:val="00934F64"/>
    <w:rsid w:val="00940518"/>
    <w:rsid w:val="00947EA7"/>
    <w:rsid w:val="009501CA"/>
    <w:rsid w:val="00951502"/>
    <w:rsid w:val="00960A34"/>
    <w:rsid w:val="00967B1B"/>
    <w:rsid w:val="00970F51"/>
    <w:rsid w:val="00973217"/>
    <w:rsid w:val="0098354E"/>
    <w:rsid w:val="0098413D"/>
    <w:rsid w:val="00994A08"/>
    <w:rsid w:val="009A11BA"/>
    <w:rsid w:val="009A44AA"/>
    <w:rsid w:val="009A6974"/>
    <w:rsid w:val="009B596A"/>
    <w:rsid w:val="009B6506"/>
    <w:rsid w:val="009C6FC4"/>
    <w:rsid w:val="009C7A85"/>
    <w:rsid w:val="009D1B46"/>
    <w:rsid w:val="009D227C"/>
    <w:rsid w:val="009D6377"/>
    <w:rsid w:val="009E0BE9"/>
    <w:rsid w:val="009E4EC5"/>
    <w:rsid w:val="009E4FBB"/>
    <w:rsid w:val="009E79B9"/>
    <w:rsid w:val="009F21E6"/>
    <w:rsid w:val="00A02EA4"/>
    <w:rsid w:val="00A06F15"/>
    <w:rsid w:val="00A1182F"/>
    <w:rsid w:val="00A15544"/>
    <w:rsid w:val="00A26652"/>
    <w:rsid w:val="00A27113"/>
    <w:rsid w:val="00A27942"/>
    <w:rsid w:val="00A341DA"/>
    <w:rsid w:val="00A40201"/>
    <w:rsid w:val="00A405AA"/>
    <w:rsid w:val="00A60D78"/>
    <w:rsid w:val="00A77834"/>
    <w:rsid w:val="00A803EF"/>
    <w:rsid w:val="00A81643"/>
    <w:rsid w:val="00A84CA7"/>
    <w:rsid w:val="00A8631B"/>
    <w:rsid w:val="00A90418"/>
    <w:rsid w:val="00A93617"/>
    <w:rsid w:val="00A9645F"/>
    <w:rsid w:val="00AA2E38"/>
    <w:rsid w:val="00AB0F21"/>
    <w:rsid w:val="00AD0DD6"/>
    <w:rsid w:val="00AD22D5"/>
    <w:rsid w:val="00AD25BC"/>
    <w:rsid w:val="00AD499C"/>
    <w:rsid w:val="00AE2120"/>
    <w:rsid w:val="00AE78C1"/>
    <w:rsid w:val="00AF0DB2"/>
    <w:rsid w:val="00AF26F2"/>
    <w:rsid w:val="00AF4BFD"/>
    <w:rsid w:val="00AF6834"/>
    <w:rsid w:val="00AF7028"/>
    <w:rsid w:val="00B15479"/>
    <w:rsid w:val="00B54C5B"/>
    <w:rsid w:val="00B55891"/>
    <w:rsid w:val="00B56F18"/>
    <w:rsid w:val="00B6297E"/>
    <w:rsid w:val="00B67C6E"/>
    <w:rsid w:val="00B748E8"/>
    <w:rsid w:val="00B74CB9"/>
    <w:rsid w:val="00B85699"/>
    <w:rsid w:val="00BA04E7"/>
    <w:rsid w:val="00BA2183"/>
    <w:rsid w:val="00BA3140"/>
    <w:rsid w:val="00BC08F2"/>
    <w:rsid w:val="00BC3973"/>
    <w:rsid w:val="00BD7515"/>
    <w:rsid w:val="00BE0FAC"/>
    <w:rsid w:val="00BF090A"/>
    <w:rsid w:val="00BF2F9A"/>
    <w:rsid w:val="00C05068"/>
    <w:rsid w:val="00C06013"/>
    <w:rsid w:val="00C172C4"/>
    <w:rsid w:val="00C22962"/>
    <w:rsid w:val="00C25106"/>
    <w:rsid w:val="00C26468"/>
    <w:rsid w:val="00C30085"/>
    <w:rsid w:val="00C33C68"/>
    <w:rsid w:val="00C34C1C"/>
    <w:rsid w:val="00C35BFE"/>
    <w:rsid w:val="00C40176"/>
    <w:rsid w:val="00C56628"/>
    <w:rsid w:val="00C655B5"/>
    <w:rsid w:val="00C66633"/>
    <w:rsid w:val="00C75CA1"/>
    <w:rsid w:val="00C8406F"/>
    <w:rsid w:val="00C842DB"/>
    <w:rsid w:val="00C9036F"/>
    <w:rsid w:val="00C9208D"/>
    <w:rsid w:val="00C93685"/>
    <w:rsid w:val="00CB09F2"/>
    <w:rsid w:val="00CC1B58"/>
    <w:rsid w:val="00CC2712"/>
    <w:rsid w:val="00CD417E"/>
    <w:rsid w:val="00CD5B1C"/>
    <w:rsid w:val="00CD70D6"/>
    <w:rsid w:val="00CE4DAB"/>
    <w:rsid w:val="00CF2C42"/>
    <w:rsid w:val="00CF5270"/>
    <w:rsid w:val="00CF73F7"/>
    <w:rsid w:val="00D0586C"/>
    <w:rsid w:val="00D14307"/>
    <w:rsid w:val="00D22D34"/>
    <w:rsid w:val="00D27594"/>
    <w:rsid w:val="00D35BF5"/>
    <w:rsid w:val="00D3734C"/>
    <w:rsid w:val="00D43DE3"/>
    <w:rsid w:val="00D55E5F"/>
    <w:rsid w:val="00D60AE9"/>
    <w:rsid w:val="00D729C8"/>
    <w:rsid w:val="00D871CF"/>
    <w:rsid w:val="00D94990"/>
    <w:rsid w:val="00DA3E0C"/>
    <w:rsid w:val="00DA551B"/>
    <w:rsid w:val="00DB21D8"/>
    <w:rsid w:val="00DC67A1"/>
    <w:rsid w:val="00DE1BDE"/>
    <w:rsid w:val="00DE7322"/>
    <w:rsid w:val="00DF0D4F"/>
    <w:rsid w:val="00DF2B6C"/>
    <w:rsid w:val="00E01146"/>
    <w:rsid w:val="00E043C8"/>
    <w:rsid w:val="00E07C87"/>
    <w:rsid w:val="00E1057B"/>
    <w:rsid w:val="00E114DE"/>
    <w:rsid w:val="00E13334"/>
    <w:rsid w:val="00E14586"/>
    <w:rsid w:val="00E14F52"/>
    <w:rsid w:val="00E1619F"/>
    <w:rsid w:val="00E169C4"/>
    <w:rsid w:val="00E17D9A"/>
    <w:rsid w:val="00E22081"/>
    <w:rsid w:val="00E26DF6"/>
    <w:rsid w:val="00E27877"/>
    <w:rsid w:val="00E4225F"/>
    <w:rsid w:val="00E42BE1"/>
    <w:rsid w:val="00E55020"/>
    <w:rsid w:val="00E6154D"/>
    <w:rsid w:val="00E71F92"/>
    <w:rsid w:val="00E73249"/>
    <w:rsid w:val="00E74657"/>
    <w:rsid w:val="00E75774"/>
    <w:rsid w:val="00E827C2"/>
    <w:rsid w:val="00E85434"/>
    <w:rsid w:val="00E939BA"/>
    <w:rsid w:val="00EA618A"/>
    <w:rsid w:val="00EB1672"/>
    <w:rsid w:val="00EB29F0"/>
    <w:rsid w:val="00EB41C4"/>
    <w:rsid w:val="00EB43C3"/>
    <w:rsid w:val="00ED1307"/>
    <w:rsid w:val="00ED208E"/>
    <w:rsid w:val="00EE2FD1"/>
    <w:rsid w:val="00EE436D"/>
    <w:rsid w:val="00EF5803"/>
    <w:rsid w:val="00F00CD3"/>
    <w:rsid w:val="00F00DCB"/>
    <w:rsid w:val="00F00E56"/>
    <w:rsid w:val="00F015BC"/>
    <w:rsid w:val="00F0701F"/>
    <w:rsid w:val="00F1169D"/>
    <w:rsid w:val="00F11ED1"/>
    <w:rsid w:val="00F224A2"/>
    <w:rsid w:val="00F231E2"/>
    <w:rsid w:val="00F26BC1"/>
    <w:rsid w:val="00F30A5A"/>
    <w:rsid w:val="00F31396"/>
    <w:rsid w:val="00F34289"/>
    <w:rsid w:val="00F37571"/>
    <w:rsid w:val="00F45EB1"/>
    <w:rsid w:val="00F5284B"/>
    <w:rsid w:val="00F53CDF"/>
    <w:rsid w:val="00F54734"/>
    <w:rsid w:val="00F63CDC"/>
    <w:rsid w:val="00F647EC"/>
    <w:rsid w:val="00F72E69"/>
    <w:rsid w:val="00F72EFD"/>
    <w:rsid w:val="00F771EA"/>
    <w:rsid w:val="00F81E94"/>
    <w:rsid w:val="00F83719"/>
    <w:rsid w:val="00F91320"/>
    <w:rsid w:val="00F95B1D"/>
    <w:rsid w:val="00FC4D6E"/>
    <w:rsid w:val="00FC57F1"/>
    <w:rsid w:val="00FD0AD6"/>
    <w:rsid w:val="00FD47B8"/>
    <w:rsid w:val="00FE0C51"/>
    <w:rsid w:val="00FE0D71"/>
    <w:rsid w:val="00FE130E"/>
    <w:rsid w:val="00FE4A50"/>
    <w:rsid w:val="00FE4BF6"/>
    <w:rsid w:val="00FE6DC8"/>
    <w:rsid w:val="00FF0485"/>
    <w:rsid w:val="00FF67AC"/>
    <w:rsid w:val="00FF687D"/>
    <w:rsid w:val="7DF184C2"/>
    <w:rsid w:val="BFCA34E5"/>
    <w:rsid w:val="D9F13527"/>
    <w:rsid w:val="FF7F1FC4"/>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nhideWhenUsed="0" w:uiPriority="0" w:name="toc 1"/>
    <w:lsdException w:unhideWhenUsed="0" w:uiPriority="0" w:name="toc 2"/>
    <w:lsdException w:unhideWhenUsed="0" w:uiPriority="0" w:name="toc 3"/>
    <w:lsdException w:unhideWhenUsed="0" w:uiPriority="0" w:name="toc 4"/>
    <w:lsdException w:unhideWhenUsed="0" w:uiPriority="0" w:name="toc 5"/>
    <w:lsdException w:unhideWhenUsed="0" w:uiPriority="0" w:name="toc 6"/>
    <w:lsdException w:unhideWhenUsed="0" w:uiPriority="0" w:name="toc 7"/>
    <w:lsdException w:unhideWhenUsed="0" w:uiPriority="0" w:name="toc 8"/>
    <w:lsdException w:unhideWhenUsed="0" w:uiPriority="0" w:name="toc 9"/>
    <w:lsdException w:uiPriority="0" w:name="Normal Indent"/>
    <w:lsdException w:unhideWhenUsed="0" w:uiPriority="0" w:name="footnote text"/>
    <w:lsdException w:unhideWhenUsed="0" w:uiPriority="0" w:name="annotation text"/>
    <w:lsdException w:unhideWhenUsed="0" w:uiPriority="0" w:semiHidden="0" w:name="header"/>
    <w:lsdException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nhideWhenUsed="0" w:uiPriority="0" w:name="footnote reference"/>
    <w:lsdException w:unhideWhenUsed="0" w:uiPriority="0" w:name="annotation reference"/>
    <w:lsdException w:uiPriority="0" w:name="line number"/>
    <w:lsdException w:unhideWhenUsed="0" w:uiPriority="0" w:semiHidden="0" w:name="page number"/>
    <w:lsdException w:unhideWhenUsed="0" w:uiPriority="0" w:name="endnote reference"/>
    <w:lsdException w:unhideWhenUsed="0"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semiHidden="0" w:name="Default Paragraph Font"/>
    <w:lsdException w:unhideWhenUsed="0" w:uiPriority="0" w:semiHidden="0" w:name="Body Text"/>
    <w:lsdException w:unhideWhenUsed="0" w:uiPriority="0" w:semiHidden="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nhideWhenUsed="0" w:uiPriority="0" w:semiHidden="0" w:name="Body Text 2"/>
    <w:lsdException w:unhideWhenUsed="0" w:uiPriority="0" w:semiHidden="0" w:name="Body Text 3"/>
    <w:lsdException w:unhideWhenUsed="0" w:uiPriority="0" w:semiHidden="0" w:name="Body Text Indent 2"/>
    <w:lsdException w:uiPriority="0" w:name="Body Text Indent 3"/>
    <w:lsdException w:uiPriority="0" w:name="Block Text"/>
    <w:lsdException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en-GB" w:eastAsia="en-US" w:bidi="ar-SA"/>
    </w:rPr>
  </w:style>
  <w:style w:type="paragraph" w:styleId="2">
    <w:name w:val="heading 1"/>
    <w:basedOn w:val="1"/>
    <w:next w:val="1"/>
    <w:qFormat/>
    <w:uiPriority w:val="0"/>
    <w:pPr>
      <w:keepNext/>
      <w:numPr>
        <w:ilvl w:val="0"/>
        <w:numId w:val="1"/>
      </w:numPr>
      <w:spacing w:before="480" w:after="240" w:line="240" w:lineRule="auto"/>
      <w:outlineLvl w:val="0"/>
    </w:pPr>
    <w:rPr>
      <w:rFonts w:ascii="Neutraface 2 Text Bold" w:hAnsi="Neutraface 2 Text Bold"/>
      <w:b/>
      <w:kern w:val="28"/>
      <w:sz w:val="26"/>
    </w:rPr>
  </w:style>
  <w:style w:type="paragraph" w:styleId="3">
    <w:name w:val="heading 2"/>
    <w:basedOn w:val="1"/>
    <w:next w:val="1"/>
    <w:link w:val="45"/>
    <w:qFormat/>
    <w:uiPriority w:val="0"/>
    <w:pPr>
      <w:keepNext/>
      <w:tabs>
        <w:tab w:val="left" w:pos="567"/>
      </w:tabs>
      <w:spacing w:before="360" w:after="240" w:line="240" w:lineRule="auto"/>
      <w:outlineLvl w:val="1"/>
    </w:pPr>
    <w:rPr>
      <w:rFonts w:ascii="Neutraface 2 Text Bold" w:hAnsi="Neutraface 2 Text Bold"/>
      <w:b/>
    </w:rPr>
  </w:style>
  <w:style w:type="paragraph" w:styleId="4">
    <w:name w:val="heading 3"/>
    <w:basedOn w:val="1"/>
    <w:next w:val="1"/>
    <w:link w:val="46"/>
    <w:qFormat/>
    <w:uiPriority w:val="0"/>
    <w:pPr>
      <w:keepNext/>
      <w:spacing w:before="240" w:line="240" w:lineRule="auto"/>
      <w:outlineLvl w:val="2"/>
    </w:pPr>
    <w:rPr>
      <w:b/>
    </w:rPr>
  </w:style>
  <w:style w:type="paragraph" w:styleId="5">
    <w:name w:val="heading 4"/>
    <w:basedOn w:val="1"/>
    <w:next w:val="1"/>
    <w:link w:val="47"/>
    <w:qFormat/>
    <w:uiPriority w:val="0"/>
    <w:pPr>
      <w:keepNext/>
      <w:spacing w:before="60" w:after="120" w:line="288" w:lineRule="auto"/>
      <w:outlineLvl w:val="3"/>
    </w:pPr>
    <w:rPr>
      <w:b/>
    </w:rPr>
  </w:style>
  <w:style w:type="paragraph" w:styleId="6">
    <w:name w:val="heading 5"/>
    <w:basedOn w:val="1"/>
    <w:next w:val="1"/>
    <w:qFormat/>
    <w:uiPriority w:val="0"/>
    <w:pPr>
      <w:spacing w:before="240" w:after="120"/>
      <w:outlineLvl w:val="4"/>
    </w:pPr>
    <w:rPr>
      <w:i/>
    </w:rPr>
  </w:style>
  <w:style w:type="paragraph" w:styleId="7">
    <w:name w:val="heading 6"/>
    <w:basedOn w:val="1"/>
    <w:next w:val="1"/>
    <w:qFormat/>
    <w:uiPriority w:val="0"/>
    <w:pPr>
      <w:numPr>
        <w:ilvl w:val="5"/>
        <w:numId w:val="1"/>
      </w:numPr>
      <w:spacing w:before="240" w:after="60"/>
      <w:outlineLvl w:val="5"/>
    </w:pPr>
    <w:rPr>
      <w:rFonts w:ascii="Arial" w:hAnsi="Arial"/>
      <w:i/>
    </w:rPr>
  </w:style>
  <w:style w:type="paragraph" w:styleId="8">
    <w:name w:val="heading 7"/>
    <w:basedOn w:val="1"/>
    <w:next w:val="1"/>
    <w:qFormat/>
    <w:uiPriority w:val="0"/>
    <w:pPr>
      <w:numPr>
        <w:ilvl w:val="6"/>
        <w:numId w:val="1"/>
      </w:numPr>
      <w:spacing w:before="240" w:after="60"/>
      <w:outlineLvl w:val="6"/>
    </w:pPr>
    <w:rPr>
      <w:rFonts w:ascii="Arial" w:hAnsi="Arial"/>
      <w:sz w:val="20"/>
    </w:rPr>
  </w:style>
  <w:style w:type="paragraph" w:styleId="9">
    <w:name w:val="heading 8"/>
    <w:basedOn w:val="1"/>
    <w:next w:val="1"/>
    <w:qFormat/>
    <w:uiPriority w:val="0"/>
    <w:pPr>
      <w:numPr>
        <w:ilvl w:val="7"/>
        <w:numId w:val="1"/>
      </w:numPr>
      <w:spacing w:before="240" w:after="60"/>
      <w:outlineLvl w:val="7"/>
    </w:pPr>
    <w:rPr>
      <w:rFonts w:ascii="Arial" w:hAnsi="Arial"/>
      <w:i/>
      <w:sz w:val="20"/>
    </w:rPr>
  </w:style>
  <w:style w:type="paragraph" w:styleId="10">
    <w:name w:val="heading 9"/>
    <w:basedOn w:val="1"/>
    <w:next w:val="1"/>
    <w:qFormat/>
    <w:uiPriority w:val="0"/>
    <w:pPr>
      <w:numPr>
        <w:ilvl w:val="8"/>
        <w:numId w:val="1"/>
      </w:numPr>
      <w:spacing w:before="240" w:after="60"/>
      <w:outlineLvl w:val="8"/>
    </w:pPr>
    <w:rPr>
      <w:rFonts w:ascii="Arial" w:hAnsi="Arial"/>
      <w:i/>
      <w:sz w:val="18"/>
    </w:rPr>
  </w:style>
  <w:style w:type="character" w:default="1" w:styleId="11">
    <w:name w:val="Default Paragraph Font"/>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Balloon Text"/>
    <w:basedOn w:val="1"/>
    <w:semiHidden/>
    <w:uiPriority w:val="0"/>
    <w:rPr>
      <w:rFonts w:ascii="Tahoma" w:hAnsi="Tahoma" w:cs="Tahoma"/>
      <w:sz w:val="16"/>
      <w:szCs w:val="16"/>
    </w:rPr>
  </w:style>
  <w:style w:type="paragraph" w:styleId="14">
    <w:name w:val="Body Text"/>
    <w:basedOn w:val="1"/>
    <w:uiPriority w:val="0"/>
    <w:pPr>
      <w:jc w:val="center"/>
    </w:pPr>
    <w:rPr>
      <w:rFonts w:ascii="Times New Roman" w:hAnsi="Times New Roman"/>
    </w:rPr>
  </w:style>
  <w:style w:type="paragraph" w:styleId="15">
    <w:name w:val="Body Text 2"/>
    <w:basedOn w:val="1"/>
    <w:uiPriority w:val="0"/>
    <w:rPr>
      <w:rFonts w:ascii="Times New Roman" w:hAnsi="Times New Roman"/>
    </w:rPr>
  </w:style>
  <w:style w:type="paragraph" w:styleId="16">
    <w:name w:val="Body Text 3"/>
    <w:basedOn w:val="1"/>
    <w:uiPriority w:val="0"/>
    <w:rPr>
      <w:rFonts w:ascii="Times New Roman" w:hAnsi="Times New Roman"/>
    </w:rPr>
  </w:style>
  <w:style w:type="paragraph" w:styleId="17">
    <w:name w:val="Body Text Indent"/>
    <w:basedOn w:val="1"/>
    <w:uiPriority w:val="0"/>
    <w:pPr>
      <w:spacing w:after="120"/>
      <w:ind w:left="283"/>
    </w:pPr>
  </w:style>
  <w:style w:type="paragraph" w:styleId="18">
    <w:name w:val="Body Text Indent 2"/>
    <w:basedOn w:val="1"/>
    <w:uiPriority w:val="0"/>
    <w:pPr>
      <w:spacing w:after="120" w:line="480" w:lineRule="auto"/>
      <w:ind w:left="283"/>
    </w:pPr>
  </w:style>
  <w:style w:type="paragraph" w:styleId="19">
    <w:name w:val="caption"/>
    <w:basedOn w:val="20"/>
    <w:next w:val="20"/>
    <w:qFormat/>
    <w:uiPriority w:val="0"/>
    <w:pPr>
      <w:jc w:val="center"/>
    </w:pPr>
  </w:style>
  <w:style w:type="paragraph" w:customStyle="1" w:styleId="20">
    <w:name w:val="Testo"/>
    <w:basedOn w:val="1"/>
    <w:uiPriority w:val="0"/>
    <w:pPr>
      <w:widowControl w:val="0"/>
    </w:pPr>
    <w:rPr>
      <w:rFonts w:ascii="Book Antiqua" w:hAnsi="Book Antiqua"/>
      <w:sz w:val="20"/>
    </w:rPr>
  </w:style>
  <w:style w:type="character" w:styleId="21">
    <w:name w:val="annotation reference"/>
    <w:semiHidden/>
    <w:uiPriority w:val="0"/>
    <w:rPr>
      <w:sz w:val="16"/>
      <w:szCs w:val="16"/>
    </w:rPr>
  </w:style>
  <w:style w:type="paragraph" w:styleId="22">
    <w:name w:val="annotation text"/>
    <w:basedOn w:val="1"/>
    <w:semiHidden/>
    <w:uiPriority w:val="0"/>
    <w:rPr>
      <w:sz w:val="20"/>
    </w:rPr>
  </w:style>
  <w:style w:type="paragraph" w:styleId="23">
    <w:name w:val="annotation subject"/>
    <w:basedOn w:val="22"/>
    <w:next w:val="22"/>
    <w:semiHidden/>
    <w:uiPriority w:val="0"/>
    <w:rPr>
      <w:b/>
      <w:bCs/>
    </w:rPr>
  </w:style>
  <w:style w:type="character" w:styleId="24">
    <w:name w:val="Emphasis"/>
    <w:qFormat/>
    <w:uiPriority w:val="0"/>
    <w:rPr>
      <w:i/>
      <w:iCs/>
    </w:rPr>
  </w:style>
  <w:style w:type="character" w:styleId="25">
    <w:name w:val="endnote reference"/>
    <w:semiHidden/>
    <w:uiPriority w:val="0"/>
    <w:rPr>
      <w:position w:val="5"/>
      <w:sz w:val="14"/>
      <w:vertAlign w:val="superscript"/>
    </w:rPr>
  </w:style>
  <w:style w:type="paragraph" w:styleId="26">
    <w:name w:val="endnote text"/>
    <w:basedOn w:val="1"/>
    <w:semiHidden/>
    <w:uiPriority w:val="0"/>
    <w:pPr>
      <w:widowControl w:val="0"/>
      <w:tabs>
        <w:tab w:val="left" w:pos="284"/>
      </w:tabs>
      <w:ind w:left="284" w:hanging="284"/>
    </w:pPr>
    <w:rPr>
      <w:sz w:val="19"/>
    </w:rPr>
  </w:style>
  <w:style w:type="paragraph" w:styleId="27">
    <w:name w:val="footer"/>
    <w:basedOn w:val="1"/>
    <w:uiPriority w:val="0"/>
    <w:pPr>
      <w:tabs>
        <w:tab w:val="center" w:pos="4819"/>
        <w:tab w:val="right" w:pos="9071"/>
      </w:tabs>
      <w:spacing w:line="240" w:lineRule="auto"/>
    </w:pPr>
    <w:rPr>
      <w:rFonts w:ascii="New York" w:hAnsi="New York"/>
      <w:sz w:val="24"/>
    </w:rPr>
  </w:style>
  <w:style w:type="character" w:styleId="28">
    <w:name w:val="footnote reference"/>
    <w:semiHidden/>
    <w:uiPriority w:val="0"/>
    <w:rPr>
      <w:rFonts w:ascii="Times" w:hAnsi="Times"/>
      <w:position w:val="6"/>
      <w:sz w:val="14"/>
      <w:vertAlign w:val="superscript"/>
    </w:rPr>
  </w:style>
  <w:style w:type="paragraph" w:styleId="29">
    <w:name w:val="footnote text"/>
    <w:link w:val="60"/>
    <w:semiHidden/>
    <w:uiPriority w:val="0"/>
    <w:pPr>
      <w:tabs>
        <w:tab w:val="left" w:pos="170"/>
        <w:tab w:val="left" w:pos="227"/>
      </w:tabs>
      <w:spacing w:after="80"/>
      <w:jc w:val="both"/>
    </w:pPr>
    <w:rPr>
      <w:rFonts w:ascii="UniMath" w:hAnsi="UniMath" w:eastAsia="Times New Roman" w:cs="Times New Roman"/>
      <w:sz w:val="19"/>
      <w:lang w:val="it-IT" w:eastAsia="it-IT" w:bidi="ar-SA"/>
    </w:rPr>
  </w:style>
  <w:style w:type="paragraph" w:styleId="30">
    <w:name w:val="header"/>
    <w:basedOn w:val="1"/>
    <w:uiPriority w:val="0"/>
    <w:pPr>
      <w:tabs>
        <w:tab w:val="center" w:pos="4819"/>
        <w:tab w:val="right" w:pos="9638"/>
      </w:tabs>
    </w:pPr>
  </w:style>
  <w:style w:type="character" w:styleId="31">
    <w:name w:val="Hyperlink"/>
    <w:uiPriority w:val="0"/>
    <w:rPr>
      <w:color w:val="000066"/>
      <w:u w:val="single"/>
    </w:rPr>
  </w:style>
  <w:style w:type="paragraph" w:styleId="32">
    <w:name w:val="Normal (Web)"/>
    <w:basedOn w:val="1"/>
    <w:uiPriority w:val="0"/>
    <w:pPr>
      <w:spacing w:before="100" w:beforeAutospacing="1" w:after="100" w:afterAutospacing="1" w:line="240" w:lineRule="auto"/>
    </w:pPr>
    <w:rPr>
      <w:rFonts w:ascii="Times New Roman" w:hAnsi="Times New Roman"/>
      <w:color w:val="000066"/>
      <w:sz w:val="24"/>
      <w:szCs w:val="24"/>
    </w:rPr>
  </w:style>
  <w:style w:type="character" w:styleId="33">
    <w:name w:val="page number"/>
    <w:uiPriority w:val="0"/>
    <w:rPr>
      <w:rFonts w:ascii="Neutraface 2 Text Demi" w:hAnsi="Neutraface 2 Text Demi"/>
      <w:b/>
      <w:sz w:val="19"/>
    </w:rPr>
  </w:style>
  <w:style w:type="character" w:styleId="34">
    <w:name w:val="Strong"/>
    <w:basedOn w:val="11"/>
    <w:qFormat/>
    <w:uiPriority w:val="0"/>
    <w:rPr>
      <w:b/>
      <w:bCs/>
    </w:rPr>
  </w:style>
  <w:style w:type="table" w:styleId="35">
    <w:name w:val="Table Grid"/>
    <w:basedOn w:val="12"/>
    <w:uiPriority w:val="0"/>
    <w:pPr>
      <w:spacing w:line="240" w:lineRule="exact"/>
      <w:ind w:firstLine="28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36">
    <w:name w:val="toc 1"/>
    <w:basedOn w:val="1"/>
    <w:next w:val="1"/>
    <w:semiHidden/>
    <w:uiPriority w:val="0"/>
    <w:pPr>
      <w:tabs>
        <w:tab w:val="left" w:pos="1134"/>
        <w:tab w:val="left" w:pos="1361"/>
        <w:tab w:val="right" w:pos="7144"/>
      </w:tabs>
      <w:ind w:right="850"/>
    </w:pPr>
    <w:rPr>
      <w:b/>
    </w:rPr>
  </w:style>
  <w:style w:type="paragraph" w:styleId="37">
    <w:name w:val="toc 2"/>
    <w:basedOn w:val="1"/>
    <w:autoRedefine/>
    <w:semiHidden/>
    <w:uiPriority w:val="0"/>
    <w:pPr>
      <w:tabs>
        <w:tab w:val="left" w:pos="567"/>
        <w:tab w:val="left" w:pos="1134"/>
        <w:tab w:val="left" w:pos="1814"/>
        <w:tab w:val="right" w:pos="7144"/>
      </w:tabs>
      <w:spacing w:line="220" w:lineRule="exact"/>
      <w:ind w:left="567"/>
    </w:pPr>
  </w:style>
  <w:style w:type="paragraph" w:styleId="38">
    <w:name w:val="toc 3"/>
    <w:basedOn w:val="1"/>
    <w:next w:val="1"/>
    <w:autoRedefine/>
    <w:semiHidden/>
    <w:uiPriority w:val="0"/>
    <w:pPr>
      <w:ind w:left="420"/>
    </w:pPr>
  </w:style>
  <w:style w:type="paragraph" w:styleId="39">
    <w:name w:val="toc 4"/>
    <w:basedOn w:val="1"/>
    <w:next w:val="1"/>
    <w:autoRedefine/>
    <w:semiHidden/>
    <w:uiPriority w:val="0"/>
    <w:pPr>
      <w:ind w:left="630"/>
    </w:pPr>
  </w:style>
  <w:style w:type="paragraph" w:styleId="40">
    <w:name w:val="toc 5"/>
    <w:basedOn w:val="1"/>
    <w:next w:val="1"/>
    <w:autoRedefine/>
    <w:semiHidden/>
    <w:uiPriority w:val="0"/>
    <w:pPr>
      <w:ind w:left="840"/>
    </w:pPr>
  </w:style>
  <w:style w:type="paragraph" w:styleId="41">
    <w:name w:val="toc 6"/>
    <w:basedOn w:val="1"/>
    <w:next w:val="1"/>
    <w:autoRedefine/>
    <w:semiHidden/>
    <w:uiPriority w:val="0"/>
    <w:pPr>
      <w:ind w:left="1050"/>
    </w:pPr>
  </w:style>
  <w:style w:type="paragraph" w:styleId="42">
    <w:name w:val="toc 7"/>
    <w:basedOn w:val="1"/>
    <w:next w:val="1"/>
    <w:autoRedefine/>
    <w:semiHidden/>
    <w:uiPriority w:val="0"/>
    <w:pPr>
      <w:ind w:left="1260"/>
    </w:pPr>
  </w:style>
  <w:style w:type="paragraph" w:styleId="43">
    <w:name w:val="toc 8"/>
    <w:basedOn w:val="1"/>
    <w:next w:val="1"/>
    <w:autoRedefine/>
    <w:semiHidden/>
    <w:uiPriority w:val="0"/>
    <w:pPr>
      <w:ind w:left="1470"/>
    </w:pPr>
  </w:style>
  <w:style w:type="paragraph" w:styleId="44">
    <w:name w:val="toc 9"/>
    <w:basedOn w:val="1"/>
    <w:next w:val="1"/>
    <w:autoRedefine/>
    <w:semiHidden/>
    <w:uiPriority w:val="0"/>
    <w:pPr>
      <w:ind w:left="1680"/>
    </w:pPr>
  </w:style>
  <w:style w:type="character" w:customStyle="1" w:styleId="45">
    <w:name w:val="Heading 2 Char"/>
    <w:link w:val="3"/>
    <w:uiPriority w:val="0"/>
    <w:rPr>
      <w:rFonts w:ascii="Neutraface 2 Text Bold" w:hAnsi="Neutraface 2 Text Bold"/>
      <w:b/>
      <w:sz w:val="22"/>
      <w:lang w:val="it-IT" w:eastAsia="it-IT"/>
    </w:rPr>
  </w:style>
  <w:style w:type="character" w:customStyle="1" w:styleId="46">
    <w:name w:val="Heading 3 Char"/>
    <w:link w:val="4"/>
    <w:uiPriority w:val="0"/>
    <w:rPr>
      <w:rFonts w:ascii="Times" w:hAnsi="Times"/>
      <w:b/>
      <w:sz w:val="21"/>
      <w:lang w:val="it-IT" w:eastAsia="it-IT" w:bidi="ar-SA"/>
    </w:rPr>
  </w:style>
  <w:style w:type="character" w:customStyle="1" w:styleId="47">
    <w:name w:val="Heading 4 Char"/>
    <w:link w:val="5"/>
    <w:uiPriority w:val="0"/>
    <w:rPr>
      <w:rFonts w:ascii="Times" w:hAnsi="Times"/>
      <w:b/>
      <w:sz w:val="21"/>
      <w:lang w:val="it-IT" w:eastAsia="it-IT" w:bidi="ar-SA"/>
    </w:rPr>
  </w:style>
  <w:style w:type="paragraph" w:customStyle="1" w:styleId="48">
    <w:name w:val="NUMCAP"/>
    <w:uiPriority w:val="0"/>
    <w:pPr>
      <w:spacing w:after="80"/>
      <w:jc w:val="right"/>
    </w:pPr>
    <w:rPr>
      <w:rFonts w:ascii="Neutraface 2 Text Bold" w:hAnsi="Neutraface 2 Text Bold" w:eastAsia="Times New Roman" w:cs="Times New Roman"/>
      <w:b/>
      <w:sz w:val="72"/>
      <w:lang w:val="it-IT" w:eastAsia="it-IT" w:bidi="ar-SA"/>
    </w:rPr>
  </w:style>
  <w:style w:type="paragraph" w:customStyle="1" w:styleId="49">
    <w:name w:val="CAPITOLO"/>
    <w:next w:val="1"/>
    <w:uiPriority w:val="0"/>
    <w:pPr>
      <w:pBdr>
        <w:bottom w:val="single" w:color="auto" w:sz="4" w:space="2"/>
      </w:pBdr>
      <w:spacing w:after="1880"/>
      <w:ind w:left="28" w:right="28"/>
      <w:jc w:val="right"/>
    </w:pPr>
    <w:rPr>
      <w:rFonts w:ascii="Neutraface 2 Text Bold" w:hAnsi="Neutraface 2 Text Bold" w:eastAsia="Times New Roman" w:cs="Times New Roman"/>
      <w:b/>
      <w:sz w:val="44"/>
      <w:lang w:val="it-IT" w:eastAsia="it-IT" w:bidi="ar-SA"/>
    </w:rPr>
  </w:style>
  <w:style w:type="paragraph" w:customStyle="1" w:styleId="50">
    <w:name w:val="INTESTADISPARI"/>
    <w:basedOn w:val="30"/>
    <w:next w:val="1"/>
    <w:uiPriority w:val="0"/>
    <w:pPr>
      <w:pBdr>
        <w:bottom w:val="single" w:color="auto" w:sz="4" w:space="2"/>
      </w:pBdr>
      <w:jc w:val="right"/>
    </w:pPr>
    <w:rPr>
      <w:sz w:val="19"/>
    </w:rPr>
  </w:style>
  <w:style w:type="paragraph" w:customStyle="1" w:styleId="51">
    <w:name w:val="INTESTAPARI"/>
    <w:basedOn w:val="50"/>
    <w:next w:val="1"/>
    <w:uiPriority w:val="0"/>
    <w:pPr>
      <w:jc w:val="left"/>
    </w:pPr>
  </w:style>
  <w:style w:type="paragraph" w:customStyle="1" w:styleId="52">
    <w:name w:val="TITOLO2"/>
    <w:uiPriority w:val="0"/>
    <w:pPr>
      <w:spacing w:before="300" w:after="120" w:line="360" w:lineRule="auto"/>
    </w:pPr>
    <w:rPr>
      <w:rFonts w:ascii="Times" w:hAnsi="Times" w:eastAsia="Times New Roman" w:cs="Times New Roman"/>
      <w:b/>
      <w:sz w:val="28"/>
      <w:lang w:val="it-IT" w:eastAsia="it-IT" w:bidi="ar-SA"/>
    </w:rPr>
  </w:style>
  <w:style w:type="paragraph" w:customStyle="1" w:styleId="53">
    <w:name w:val="TITOLO3"/>
    <w:next w:val="1"/>
    <w:uiPriority w:val="0"/>
    <w:pPr>
      <w:spacing w:before="240" w:after="60" w:line="300" w:lineRule="auto"/>
    </w:pPr>
    <w:rPr>
      <w:rFonts w:ascii="Times" w:hAnsi="Times" w:eastAsia="Times New Roman" w:cs="Times New Roman"/>
      <w:sz w:val="24"/>
      <w:lang w:val="it-IT" w:eastAsia="it-IT" w:bidi="ar-SA"/>
    </w:rPr>
  </w:style>
  <w:style w:type="paragraph" w:customStyle="1" w:styleId="54">
    <w:name w:val="TITOLO4"/>
    <w:next w:val="1"/>
    <w:uiPriority w:val="0"/>
    <w:pPr>
      <w:spacing w:before="120" w:after="120" w:line="259" w:lineRule="auto"/>
    </w:pPr>
    <w:rPr>
      <w:rFonts w:ascii="Times" w:hAnsi="Times" w:eastAsia="Times New Roman" w:cs="Times New Roman"/>
      <w:b/>
      <w:sz w:val="22"/>
      <w:lang w:val="it-IT" w:eastAsia="it-IT" w:bidi="ar-SA"/>
    </w:rPr>
  </w:style>
  <w:style w:type="paragraph" w:customStyle="1" w:styleId="55">
    <w:name w:val="NORMARIE"/>
    <w:next w:val="1"/>
    <w:uiPriority w:val="0"/>
    <w:pPr>
      <w:tabs>
        <w:tab w:val="left" w:pos="454"/>
        <w:tab w:val="left" w:pos="680"/>
        <w:tab w:val="left" w:pos="1134"/>
      </w:tabs>
      <w:spacing w:line="240" w:lineRule="exact"/>
      <w:jc w:val="both"/>
    </w:pPr>
    <w:rPr>
      <w:rFonts w:ascii="Times" w:hAnsi="Times" w:eastAsia="Times New Roman" w:cs="Times New Roman"/>
      <w:sz w:val="21"/>
      <w:lang w:val="it-IT" w:eastAsia="it-IT" w:bidi="ar-SA"/>
    </w:rPr>
  </w:style>
  <w:style w:type="paragraph" w:customStyle="1" w:styleId="56">
    <w:name w:val="FC"/>
    <w:basedOn w:val="1"/>
    <w:uiPriority w:val="0"/>
    <w:pPr>
      <w:tabs>
        <w:tab w:val="left" w:pos="1200"/>
      </w:tabs>
    </w:pPr>
  </w:style>
  <w:style w:type="paragraph" w:customStyle="1" w:styleId="57">
    <w:name w:val="Figura"/>
    <w:link w:val="92"/>
    <w:uiPriority w:val="0"/>
    <w:pPr>
      <w:tabs>
        <w:tab w:val="left" w:pos="1049"/>
        <w:tab w:val="left" w:pos="1191"/>
      </w:tabs>
      <w:spacing w:before="240" w:after="240"/>
      <w:ind w:left="1049" w:hanging="1049"/>
      <w:jc w:val="both"/>
    </w:pPr>
    <w:rPr>
      <w:rFonts w:ascii="Neutraface 2 Text Demi" w:hAnsi="Neutraface 2 Text Demi" w:eastAsia="Times New Roman" w:cs="Times New Roman"/>
      <w:sz w:val="19"/>
      <w:lang w:val="it-IT" w:eastAsia="it-IT" w:bidi="ar-SA"/>
    </w:rPr>
  </w:style>
  <w:style w:type="paragraph" w:customStyle="1" w:styleId="58">
    <w:name w:val="FORMULA"/>
    <w:uiPriority w:val="0"/>
    <w:pPr>
      <w:tabs>
        <w:tab w:val="center" w:pos="3629"/>
        <w:tab w:val="right" w:pos="7258"/>
      </w:tabs>
      <w:spacing w:before="160" w:after="160"/>
      <w:jc w:val="center"/>
    </w:pPr>
    <w:rPr>
      <w:rFonts w:ascii="Times" w:hAnsi="Times" w:eastAsia="Times New Roman" w:cs="Times New Roman"/>
      <w:sz w:val="21"/>
      <w:lang w:val="it-IT" w:eastAsia="it-IT" w:bidi="ar-SA"/>
    </w:rPr>
  </w:style>
  <w:style w:type="paragraph" w:customStyle="1" w:styleId="59">
    <w:name w:val="BULLET"/>
    <w:uiPriority w:val="0"/>
    <w:pPr>
      <w:numPr>
        <w:ilvl w:val="0"/>
        <w:numId w:val="2"/>
      </w:numPr>
      <w:tabs>
        <w:tab w:val="left" w:pos="284"/>
        <w:tab w:val="clear" w:pos="360"/>
      </w:tabs>
      <w:spacing w:line="240" w:lineRule="exact"/>
      <w:jc w:val="both"/>
    </w:pPr>
    <w:rPr>
      <w:rFonts w:ascii="Times" w:hAnsi="Times" w:eastAsia="Times New Roman" w:cs="Times New Roman"/>
      <w:sz w:val="21"/>
      <w:lang w:val="it-IT" w:eastAsia="it-IT" w:bidi="ar-SA"/>
    </w:rPr>
  </w:style>
  <w:style w:type="character" w:customStyle="1" w:styleId="60">
    <w:name w:val="Footnote Text Char"/>
    <w:link w:val="29"/>
    <w:semiHidden/>
    <w:uiPriority w:val="0"/>
    <w:rPr>
      <w:rFonts w:ascii="UniMath" w:hAnsi="UniMath"/>
      <w:sz w:val="19"/>
      <w:lang w:val="it-IT" w:eastAsia="it-IT"/>
    </w:rPr>
  </w:style>
  <w:style w:type="paragraph" w:customStyle="1" w:styleId="61">
    <w:name w:val="RIENTRATO"/>
    <w:uiPriority w:val="0"/>
    <w:pPr>
      <w:numPr>
        <w:ilvl w:val="0"/>
        <w:numId w:val="3"/>
      </w:numPr>
      <w:tabs>
        <w:tab w:val="left" w:pos="284"/>
      </w:tabs>
      <w:spacing w:line="240" w:lineRule="exact"/>
      <w:ind w:left="284" w:hanging="284"/>
      <w:jc w:val="both"/>
    </w:pPr>
    <w:rPr>
      <w:rFonts w:ascii="Times" w:hAnsi="Times" w:eastAsia="Times New Roman" w:cs="Times New Roman"/>
      <w:sz w:val="21"/>
      <w:lang w:val="it-IT" w:eastAsia="it-IT" w:bidi="ar-SA"/>
    </w:rPr>
  </w:style>
  <w:style w:type="paragraph" w:customStyle="1" w:styleId="62">
    <w:name w:val="Stile1"/>
    <w:basedOn w:val="50"/>
    <w:uiPriority w:val="0"/>
    <w:pPr>
      <w:pBdr>
        <w:bottom w:val="single" w:color="auto" w:sz="4" w:space="1"/>
      </w:pBdr>
    </w:pPr>
    <w:rPr>
      <w:sz w:val="20"/>
    </w:rPr>
  </w:style>
  <w:style w:type="paragraph" w:customStyle="1" w:styleId="63">
    <w:name w:val="MEZZA"/>
    <w:uiPriority w:val="0"/>
    <w:pPr>
      <w:spacing w:line="120" w:lineRule="auto"/>
    </w:pPr>
    <w:rPr>
      <w:rFonts w:ascii="Times" w:hAnsi="Times" w:eastAsia="Times New Roman" w:cs="Times New Roman"/>
      <w:lang w:val="it-IT" w:eastAsia="it-IT" w:bidi="ar-SA"/>
    </w:rPr>
  </w:style>
  <w:style w:type="paragraph" w:customStyle="1" w:styleId="64">
    <w:name w:val="rientra"/>
    <w:basedOn w:val="1"/>
    <w:uiPriority w:val="0"/>
    <w:pPr>
      <w:widowControl w:val="0"/>
      <w:numPr>
        <w:ilvl w:val="0"/>
        <w:numId w:val="4"/>
      </w:numPr>
      <w:tabs>
        <w:tab w:val="right" w:pos="284"/>
        <w:tab w:val="clear" w:pos="360"/>
      </w:tabs>
      <w:ind w:left="284" w:hanging="284"/>
    </w:pPr>
  </w:style>
  <w:style w:type="paragraph" w:customStyle="1" w:styleId="65">
    <w:name w:val="Normal primo paragrafo"/>
    <w:basedOn w:val="1"/>
    <w:next w:val="1"/>
    <w:uiPriority w:val="0"/>
    <w:pPr>
      <w:widowControl w:val="0"/>
    </w:pPr>
    <w:rPr>
      <w:rFonts w:ascii="Times New Roman" w:hAnsi="Times New Roman"/>
    </w:rPr>
  </w:style>
  <w:style w:type="paragraph" w:customStyle="1" w:styleId="66">
    <w:name w:val="figure"/>
    <w:basedOn w:val="1"/>
    <w:next w:val="1"/>
    <w:uiPriority w:val="0"/>
    <w:pPr>
      <w:widowControl w:val="0"/>
      <w:pBdr>
        <w:top w:val="single" w:color="auto" w:sz="4" w:space="12"/>
        <w:bottom w:val="single" w:color="auto" w:sz="4" w:space="12"/>
      </w:pBdr>
      <w:spacing w:line="240" w:lineRule="auto"/>
      <w:ind w:left="28" w:right="28"/>
      <w:jc w:val="center"/>
    </w:pPr>
  </w:style>
  <w:style w:type="paragraph" w:customStyle="1" w:styleId="67">
    <w:name w:val="dicitura fig-tab"/>
    <w:basedOn w:val="1"/>
    <w:next w:val="1"/>
    <w:uiPriority w:val="0"/>
    <w:pPr>
      <w:widowControl w:val="0"/>
      <w:spacing w:before="120" w:after="240"/>
      <w:ind w:left="992" w:hanging="992"/>
    </w:pPr>
    <w:rPr>
      <w:rFonts w:ascii="Times New Roman" w:hAnsi="Times New Roman"/>
      <w:sz w:val="20"/>
    </w:rPr>
  </w:style>
  <w:style w:type="paragraph" w:customStyle="1" w:styleId="68">
    <w:name w:val="Scheda"/>
    <w:basedOn w:val="1"/>
    <w:uiPriority w:val="0"/>
    <w:pPr>
      <w:widowControl w:val="0"/>
      <w:tabs>
        <w:tab w:val="right" w:pos="284"/>
      </w:tabs>
    </w:pPr>
    <w:rPr>
      <w:rFonts w:ascii="Times New Roman" w:hAnsi="Times New Roman"/>
      <w:sz w:val="18"/>
    </w:rPr>
  </w:style>
  <w:style w:type="paragraph" w:customStyle="1" w:styleId="69">
    <w:name w:val="Scheda primo paragrafo"/>
    <w:basedOn w:val="65"/>
    <w:next w:val="68"/>
    <w:uiPriority w:val="0"/>
    <w:rPr>
      <w:sz w:val="18"/>
    </w:rPr>
  </w:style>
  <w:style w:type="paragraph" w:customStyle="1" w:styleId="70">
    <w:name w:val="tabella"/>
    <w:basedOn w:val="1"/>
    <w:uiPriority w:val="0"/>
    <w:pPr>
      <w:widowControl w:val="0"/>
      <w:spacing w:before="40" w:after="40" w:line="288" w:lineRule="auto"/>
      <w:jc w:val="center"/>
    </w:pPr>
    <w:rPr>
      <w:rFonts w:ascii="Times New Roman" w:hAnsi="Times New Roman"/>
      <w:sz w:val="18"/>
    </w:rPr>
  </w:style>
  <w:style w:type="paragraph" w:customStyle="1" w:styleId="71">
    <w:name w:val="formule"/>
    <w:basedOn w:val="1"/>
    <w:next w:val="1"/>
    <w:uiPriority w:val="0"/>
    <w:pPr>
      <w:widowControl w:val="0"/>
      <w:tabs>
        <w:tab w:val="center" w:pos="3402"/>
        <w:tab w:val="right" w:pos="7144"/>
      </w:tabs>
      <w:spacing w:before="120" w:after="120"/>
      <w:jc w:val="right"/>
    </w:pPr>
    <w:rPr>
      <w:rFonts w:ascii="Times New Roman" w:hAnsi="Times New Roman"/>
    </w:rPr>
  </w:style>
  <w:style w:type="paragraph" w:customStyle="1" w:styleId="72">
    <w:name w:val="Nota piè di pagina"/>
    <w:basedOn w:val="27"/>
    <w:uiPriority w:val="0"/>
    <w:pPr>
      <w:widowControl w:val="0"/>
      <w:tabs>
        <w:tab w:val="clear" w:pos="4819"/>
        <w:tab w:val="clear" w:pos="9071"/>
      </w:tabs>
      <w:spacing w:line="180" w:lineRule="exact"/>
      <w:jc w:val="both"/>
    </w:pPr>
    <w:rPr>
      <w:rFonts w:ascii="Times New Roman" w:hAnsi="Times New Roman"/>
      <w:sz w:val="16"/>
    </w:rPr>
  </w:style>
  <w:style w:type="paragraph" w:customStyle="1" w:styleId="73">
    <w:name w:val="NOTA"/>
    <w:uiPriority w:val="0"/>
    <w:pPr>
      <w:tabs>
        <w:tab w:val="left" w:pos="284"/>
      </w:tabs>
      <w:ind w:left="284" w:hanging="284"/>
      <w:jc w:val="both"/>
    </w:pPr>
    <w:rPr>
      <w:rFonts w:ascii="Times" w:hAnsi="Times" w:eastAsia="Times New Roman" w:cs="Times New Roman"/>
      <w:color w:val="000000"/>
      <w:sz w:val="19"/>
      <w:lang w:val="it-IT" w:eastAsia="it-IT" w:bidi="ar-SA"/>
    </w:rPr>
  </w:style>
  <w:style w:type="paragraph" w:customStyle="1" w:styleId="74">
    <w:name w:val="FILOSOPRA"/>
    <w:basedOn w:val="1"/>
    <w:uiPriority w:val="0"/>
    <w:pPr>
      <w:pBdr>
        <w:bottom w:val="single" w:color="auto" w:sz="4" w:space="1"/>
      </w:pBdr>
      <w:spacing w:after="40"/>
      <w:ind w:left="17" w:right="28"/>
    </w:pPr>
  </w:style>
  <w:style w:type="paragraph" w:customStyle="1" w:styleId="75">
    <w:name w:val="FILOSOTTO"/>
    <w:basedOn w:val="1"/>
    <w:uiPriority w:val="0"/>
    <w:pPr>
      <w:pBdr>
        <w:top w:val="single" w:color="auto" w:sz="4" w:space="1"/>
      </w:pBdr>
      <w:spacing w:before="40"/>
      <w:ind w:left="17" w:right="28"/>
    </w:pPr>
  </w:style>
  <w:style w:type="paragraph" w:customStyle="1" w:styleId="76">
    <w:name w:val="CITAZIONE"/>
    <w:uiPriority w:val="0"/>
    <w:pPr>
      <w:ind w:left="284"/>
      <w:jc w:val="both"/>
    </w:pPr>
    <w:rPr>
      <w:rFonts w:ascii="Times" w:hAnsi="Times" w:eastAsia="Times New Roman" w:cs="Times New Roman"/>
      <w:sz w:val="19"/>
      <w:lang w:val="it-IT" w:eastAsia="it-IT" w:bidi="ar-SA"/>
    </w:rPr>
  </w:style>
  <w:style w:type="paragraph" w:customStyle="1" w:styleId="77">
    <w:name w:val="ELECONUMERO"/>
    <w:uiPriority w:val="0"/>
    <w:pPr>
      <w:numPr>
        <w:ilvl w:val="0"/>
        <w:numId w:val="5"/>
      </w:numPr>
      <w:tabs>
        <w:tab w:val="left" w:pos="284"/>
      </w:tabs>
      <w:spacing w:line="260" w:lineRule="exact"/>
      <w:jc w:val="both"/>
    </w:pPr>
    <w:rPr>
      <w:rFonts w:ascii="Times" w:hAnsi="Times" w:eastAsia="Times New Roman" w:cs="Times New Roman"/>
      <w:sz w:val="21"/>
      <w:lang w:val="it-IT" w:eastAsia="it-IT" w:bidi="ar-SA"/>
    </w:rPr>
  </w:style>
  <w:style w:type="paragraph" w:customStyle="1" w:styleId="78">
    <w:name w:val="BIBLIO"/>
    <w:uiPriority w:val="0"/>
    <w:pPr>
      <w:tabs>
        <w:tab w:val="left" w:pos="454"/>
      </w:tabs>
      <w:ind w:left="454" w:hanging="454"/>
      <w:jc w:val="both"/>
    </w:pPr>
    <w:rPr>
      <w:rFonts w:ascii="Times" w:hAnsi="Times" w:eastAsia="Times New Roman" w:cs="Times New Roman"/>
      <w:sz w:val="19"/>
      <w:lang w:val="it-IT" w:eastAsia="it-IT" w:bidi="ar-SA"/>
    </w:rPr>
  </w:style>
  <w:style w:type="paragraph" w:customStyle="1" w:styleId="79">
    <w:name w:val="BIBLIO1"/>
    <w:uiPriority w:val="0"/>
    <w:pPr>
      <w:tabs>
        <w:tab w:val="left" w:pos="510"/>
      </w:tabs>
      <w:ind w:left="510" w:hanging="510"/>
      <w:jc w:val="both"/>
    </w:pPr>
    <w:rPr>
      <w:rFonts w:ascii="Times" w:hAnsi="Times" w:eastAsia="Times New Roman" w:cs="Times New Roman"/>
      <w:sz w:val="21"/>
      <w:lang w:val="en-US" w:eastAsia="it-IT" w:bidi="ar-SA"/>
    </w:rPr>
  </w:style>
  <w:style w:type="paragraph" w:customStyle="1" w:styleId="80">
    <w:name w:val="PROBLEMI"/>
    <w:uiPriority w:val="0"/>
    <w:pPr>
      <w:numPr>
        <w:ilvl w:val="0"/>
        <w:numId w:val="6"/>
      </w:numPr>
      <w:jc w:val="both"/>
    </w:pPr>
    <w:rPr>
      <w:rFonts w:ascii="Times" w:hAnsi="Times" w:eastAsia="Times New Roman" w:cs="Times New Roman"/>
      <w:sz w:val="21"/>
      <w:lang w:val="it-IT" w:eastAsia="it-IT" w:bidi="ar-SA"/>
    </w:rPr>
  </w:style>
  <w:style w:type="paragraph" w:customStyle="1" w:styleId="81">
    <w:name w:val="Formula"/>
    <w:basedOn w:val="20"/>
    <w:next w:val="20"/>
    <w:uiPriority w:val="0"/>
    <w:pPr>
      <w:spacing w:before="160"/>
      <w:jc w:val="right"/>
    </w:pPr>
  </w:style>
  <w:style w:type="paragraph" w:customStyle="1" w:styleId="82">
    <w:name w:val="Bullett"/>
    <w:next w:val="55"/>
    <w:uiPriority w:val="0"/>
    <w:pPr>
      <w:numPr>
        <w:ilvl w:val="0"/>
        <w:numId w:val="7"/>
      </w:numPr>
      <w:tabs>
        <w:tab w:val="left" w:pos="284"/>
      </w:tabs>
      <w:spacing w:line="256" w:lineRule="exact"/>
      <w:jc w:val="both"/>
    </w:pPr>
    <w:rPr>
      <w:rFonts w:ascii="Times" w:hAnsi="Times" w:eastAsia="Times New Roman" w:cs="Times New Roman"/>
      <w:sz w:val="21"/>
      <w:lang w:val="it-IT" w:eastAsia="it-IT" w:bidi="ar-SA"/>
    </w:rPr>
  </w:style>
  <w:style w:type="paragraph" w:customStyle="1" w:styleId="83">
    <w:name w:val="ELEALFA"/>
    <w:basedOn w:val="77"/>
    <w:uiPriority w:val="0"/>
    <w:pPr>
      <w:numPr>
        <w:ilvl w:val="0"/>
        <w:numId w:val="8"/>
      </w:numPr>
      <w:spacing w:line="256" w:lineRule="exact"/>
    </w:pPr>
  </w:style>
  <w:style w:type="paragraph" w:customStyle="1" w:styleId="84">
    <w:name w:val="NUMERATO"/>
    <w:basedOn w:val="61"/>
    <w:next w:val="55"/>
    <w:uiPriority w:val="0"/>
    <w:pPr>
      <w:numPr>
        <w:ilvl w:val="0"/>
        <w:numId w:val="9"/>
      </w:numPr>
      <w:ind w:left="284" w:hanging="284"/>
    </w:pPr>
  </w:style>
  <w:style w:type="character" w:customStyle="1" w:styleId="85">
    <w:name w:val="A8"/>
    <w:uiPriority w:val="0"/>
    <w:rPr>
      <w:rFonts w:cs="Trebuchet MS"/>
      <w:color w:val="000000"/>
      <w:sz w:val="22"/>
      <w:szCs w:val="22"/>
    </w:rPr>
  </w:style>
  <w:style w:type="paragraph" w:customStyle="1" w:styleId="86">
    <w:name w:val="Pa4"/>
    <w:basedOn w:val="1"/>
    <w:next w:val="1"/>
    <w:uiPriority w:val="0"/>
    <w:pPr>
      <w:autoSpaceDE w:val="0"/>
      <w:autoSpaceDN w:val="0"/>
      <w:adjustRightInd w:val="0"/>
      <w:spacing w:line="241" w:lineRule="atLeast"/>
    </w:pPr>
    <w:rPr>
      <w:rFonts w:ascii="Trebuchet MS" w:hAnsi="Trebuchet MS"/>
      <w:sz w:val="24"/>
      <w:szCs w:val="24"/>
    </w:rPr>
  </w:style>
  <w:style w:type="paragraph" w:customStyle="1" w:styleId="87">
    <w:name w:val="Pa5"/>
    <w:basedOn w:val="1"/>
    <w:next w:val="1"/>
    <w:uiPriority w:val="0"/>
    <w:pPr>
      <w:autoSpaceDE w:val="0"/>
      <w:autoSpaceDN w:val="0"/>
      <w:adjustRightInd w:val="0"/>
      <w:spacing w:line="241" w:lineRule="atLeast"/>
    </w:pPr>
    <w:rPr>
      <w:rFonts w:ascii="Trebuchet MS" w:hAnsi="Trebuchet MS"/>
      <w:sz w:val="24"/>
      <w:szCs w:val="24"/>
    </w:rPr>
  </w:style>
  <w:style w:type="character" w:customStyle="1" w:styleId="88">
    <w:name w:val="Carattere della nota"/>
    <w:uiPriority w:val="0"/>
    <w:rPr>
      <w:vertAlign w:val="superscript"/>
    </w:rPr>
  </w:style>
  <w:style w:type="paragraph" w:customStyle="1" w:styleId="89">
    <w:name w:val="Stile"/>
    <w:uiPriority w:val="0"/>
    <w:pPr>
      <w:widowControl w:val="0"/>
      <w:autoSpaceDE w:val="0"/>
      <w:autoSpaceDN w:val="0"/>
      <w:adjustRightInd w:val="0"/>
    </w:pPr>
    <w:rPr>
      <w:rFonts w:ascii="Times New Roman" w:hAnsi="Times New Roman" w:eastAsia="Times New Roman" w:cs="Times New Roman"/>
      <w:sz w:val="24"/>
      <w:szCs w:val="24"/>
      <w:lang w:val="it-IT" w:eastAsia="it-IT" w:bidi="ar-SA"/>
    </w:rPr>
  </w:style>
  <w:style w:type="paragraph" w:customStyle="1" w:styleId="90">
    <w:name w:val="Body Text 21"/>
    <w:basedOn w:val="1"/>
    <w:uiPriority w:val="0"/>
    <w:pPr>
      <w:tabs>
        <w:tab w:val="left" w:pos="1843"/>
      </w:tabs>
      <w:overflowPunct w:val="0"/>
      <w:autoSpaceDE w:val="0"/>
      <w:autoSpaceDN w:val="0"/>
      <w:adjustRightInd w:val="0"/>
      <w:textAlignment w:val="baseline"/>
    </w:pPr>
    <w:rPr>
      <w:rFonts w:ascii="Times New Roman" w:hAnsi="Times New Roman"/>
    </w:rPr>
  </w:style>
  <w:style w:type="paragraph" w:customStyle="1" w:styleId="91">
    <w:name w:val="Fonti Figure e Tabelle"/>
    <w:basedOn w:val="1"/>
    <w:autoRedefine/>
    <w:uiPriority w:val="0"/>
    <w:rPr>
      <w:i/>
      <w:iCs/>
      <w:sz w:val="17"/>
    </w:rPr>
  </w:style>
  <w:style w:type="character" w:customStyle="1" w:styleId="92">
    <w:name w:val="Figura Carattere"/>
    <w:link w:val="57"/>
    <w:uiPriority w:val="0"/>
    <w:rPr>
      <w:rFonts w:ascii="Neutraface 2 Text Demi" w:hAnsi="Neutraface 2 Text Demi"/>
      <w:sz w:val="19"/>
      <w:lang w:val="it-IT" w:eastAsia="it-IT"/>
    </w:rPr>
  </w:style>
  <w:style w:type="character" w:customStyle="1" w:styleId="93">
    <w:name w:val="font31"/>
    <w:uiPriority w:val="0"/>
    <w:rPr>
      <w:rFonts w:hint="default" w:ascii="Times New Roman Bold" w:hAnsi="Times New Roman Bold" w:eastAsia="Times New Roman Bold" w:cs="Times New Roman Bold"/>
      <w:b/>
      <w:bCs/>
      <w:color w:val="000000"/>
      <w:sz w:val="24"/>
      <w:szCs w:val="24"/>
      <w:u w:val="none"/>
    </w:rPr>
  </w:style>
  <w:style w:type="character" w:customStyle="1" w:styleId="94">
    <w:name w:val="font11"/>
    <w:uiPriority w:val="0"/>
    <w:rPr>
      <w:rFonts w:hint="default" w:ascii="Times New Roman Regular" w:hAnsi="Times New Roman Regular" w:eastAsia="Times New Roman Regular" w:cs="Times New Roman Regular"/>
      <w:color w:val="000000"/>
      <w:sz w:val="24"/>
      <w:szCs w:val="24"/>
      <w:u w:val="none"/>
    </w:rPr>
  </w:style>
  <w:style w:type="character" w:customStyle="1" w:styleId="95">
    <w:name w:val="font51"/>
    <w:uiPriority w:val="0"/>
    <w:rPr>
      <w:rFonts w:ascii="Arial" w:hAnsi="Arial" w:cs="Arial"/>
      <w:color w:val="000000"/>
      <w:sz w:val="24"/>
      <w:szCs w:val="24"/>
      <w:u w:val="none"/>
    </w:rPr>
  </w:style>
  <w:style w:type="character" w:customStyle="1" w:styleId="96">
    <w:name w:val="font61"/>
    <w:uiPriority w:val="0"/>
    <w:rPr>
      <w:rFonts w:hint="default" w:ascii="Times New Roman" w:hAnsi="Times New Roman" w:cs="Times New Roman"/>
      <w:color w:val="000000"/>
      <w:sz w:val="24"/>
      <w:szCs w:val="24"/>
      <w:u w:val="none"/>
    </w:rPr>
  </w:style>
  <w:style w:type="character" w:customStyle="1" w:styleId="97">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Grafica Editoriale</Company>
  <Pages>8</Pages>
  <Words>3026</Words>
  <Characters>17250</Characters>
  <Lines>143</Lines>
  <Paragraphs>40</Paragraphs>
  <TotalTime>29</TotalTime>
  <ScaleCrop>false</ScaleCrop>
  <LinksUpToDate>false</LinksUpToDate>
  <CharactersWithSpaces>20236</CharactersWithSpaces>
  <Application>WPS Office_6.12.1.8902_F1E327BC-269C-435d-A152-05C5408002CA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2024-10-22T12:11:00Z</dcterms:created>
  <dc:creator>Bonanno, Daniele</dc:creator>
  <cp:lastModifiedBy>泵浊峙两缺</cp:lastModifiedBy>
  <cp:lastPrinted>2014-04-04T00:54:00Z</cp:lastPrinted>
  <dcterms:modified xsi:type="dcterms:W3CDTF">2024-11-13T11:26:13Z</dcterms:modified>
  <dc:title>PARTE PRIMA</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1033-6.12.1.8902</vt:lpwstr>
  </property>
  <property fmtid="{D5CDD505-2E9C-101B-9397-08002B2CF9AE}" pid="3" name="ICV">
    <vt:lpwstr>829A12C2D3507807C57E34671C1A28F9_43</vt:lpwstr>
  </property>
</Properties>
</file>