
<file path=[Content_Types].xml><?xml version="1.0" encoding="utf-8"?>
<Types xmlns="http://schemas.openxmlformats.org/package/2006/content-types">
  <Default ContentType="image/jpeg" Extension="jpg"/>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rPr>
          <w:rFonts w:ascii="Times" w:cs="Times" w:eastAsia="Times" w:hAnsi="Times"/>
          <w:b w:val="1"/>
          <w:sz w:val="28"/>
          <w:szCs w:val="28"/>
        </w:rPr>
      </w:pPr>
      <w:r w:rsidDel="00000000" w:rsidR="00000000" w:rsidRPr="00000000">
        <w:rPr>
          <w:rFonts w:ascii="Times" w:cs="Times" w:eastAsia="Times" w:hAnsi="Times"/>
          <w:b w:val="1"/>
          <w:sz w:val="28"/>
          <w:szCs w:val="28"/>
          <w:rtl w:val="0"/>
        </w:rPr>
        <w:t xml:space="preserve">Sensemaking Individual in Internationalising B2B Company Coping with Risks</w:t>
      </w:r>
    </w:p>
    <w:p w:rsidR="00000000" w:rsidDel="00000000" w:rsidP="00000000" w:rsidRDefault="00000000" w:rsidRPr="00000000" w14:paraId="00000002">
      <w:pPr>
        <w:widowControl w:val="1"/>
        <w:jc w:val="left"/>
        <w:rPr>
          <w:rFonts w:ascii="Times New Roman" w:cs="Times New Roman" w:eastAsia="Times New Roman" w:hAnsi="Times New Roman"/>
          <w:color w:val="000000"/>
          <w:sz w:val="22"/>
          <w:szCs w:val="22"/>
        </w:rPr>
      </w:pPr>
      <w:r w:rsidDel="00000000" w:rsidR="00000000" w:rsidRPr="00000000">
        <w:rPr>
          <w:rtl w:val="0"/>
        </w:rPr>
      </w:r>
    </w:p>
    <w:p w:rsidR="00000000" w:rsidDel="00000000" w:rsidP="00000000" w:rsidRDefault="00000000" w:rsidRPr="00000000" w14:paraId="00000003">
      <w:pPr>
        <w:spacing w:after="200" w:lineRule="auto"/>
        <w:ind w:firstLine="480"/>
        <w:jc w:val="center"/>
        <w:rPr>
          <w:rFonts w:ascii="Times" w:cs="Times" w:eastAsia="Times" w:hAnsi="Times"/>
          <w:b w:val="1"/>
          <w:sz w:val="24"/>
          <w:szCs w:val="24"/>
        </w:rPr>
      </w:pPr>
      <w:r w:rsidDel="00000000" w:rsidR="00000000" w:rsidRPr="00000000">
        <w:rPr>
          <w:rFonts w:ascii="Times" w:cs="Times" w:eastAsia="Times" w:hAnsi="Times"/>
          <w:b w:val="1"/>
          <w:sz w:val="24"/>
          <w:szCs w:val="24"/>
          <w:rtl w:val="0"/>
        </w:rPr>
        <w:t xml:space="preserve">Abstract</w:t>
      </w:r>
    </w:p>
    <w:p w:rsidR="00000000" w:rsidDel="00000000" w:rsidP="00000000" w:rsidRDefault="00000000" w:rsidRPr="00000000" w14:paraId="00000004">
      <w:pPr>
        <w:ind w:firstLine="480"/>
        <w:rPr>
          <w:rFonts w:ascii="Times" w:cs="Times" w:eastAsia="Times" w:hAnsi="Times"/>
          <w:sz w:val="24"/>
          <w:szCs w:val="24"/>
        </w:rPr>
      </w:pPr>
      <w:r w:rsidDel="00000000" w:rsidR="00000000" w:rsidRPr="00000000">
        <w:rPr>
          <w:rFonts w:ascii="Times" w:cs="Times" w:eastAsia="Times" w:hAnsi="Times"/>
          <w:sz w:val="24"/>
          <w:szCs w:val="24"/>
          <w:rtl w:val="0"/>
        </w:rPr>
        <w:t xml:space="preserve">Sensemaking cognitively directs decision-maker’s behaviour which can influence companies’ development. It can never be isolated from the business context that </w:t>
      </w:r>
      <w:r w:rsidDel="00000000" w:rsidR="00000000" w:rsidRPr="00000000">
        <w:rPr>
          <w:rFonts w:ascii="Times" w:cs="Times" w:eastAsia="Times" w:hAnsi="Times"/>
          <w:i w:val="1"/>
          <w:sz w:val="24"/>
          <w:szCs w:val="24"/>
          <w:rtl w:val="0"/>
        </w:rPr>
        <w:t xml:space="preserve">an individual</w:t>
      </w:r>
      <w:r w:rsidDel="00000000" w:rsidR="00000000" w:rsidRPr="00000000">
        <w:rPr>
          <w:rFonts w:ascii="Times" w:cs="Times" w:eastAsia="Times" w:hAnsi="Times"/>
          <w:sz w:val="24"/>
          <w:szCs w:val="24"/>
          <w:rtl w:val="0"/>
        </w:rPr>
        <w:t xml:space="preserve"> sits in. This phenomenon is exceptionally relevant to s</w:t>
      </w:r>
      <w:r w:rsidDel="00000000" w:rsidR="00000000" w:rsidRPr="00000000">
        <w:rPr>
          <w:rFonts w:ascii="Times" w:cs="Times" w:eastAsia="Times" w:hAnsi="Times"/>
          <w:sz w:val="24"/>
          <w:szCs w:val="24"/>
          <w:rtl w:val="0"/>
        </w:rPr>
        <w:t xml:space="preserve">mall and mid-size enterprises (SMEs) considering the fact that individuals are often those in charge of their companies. Individuals at a micro level in the business-to-business (B2B) marketing context should be particularly stressed compared to the overlooked macro-ones. </w:t>
      </w:r>
      <w:r w:rsidDel="00000000" w:rsidR="00000000" w:rsidRPr="00000000">
        <w:rPr>
          <w:rFonts w:ascii="Times" w:cs="Times" w:eastAsia="Times" w:hAnsi="Times"/>
          <w:sz w:val="24"/>
          <w:szCs w:val="24"/>
          <w:rtl w:val="0"/>
        </w:rPr>
        <w:t xml:space="preserve">In recent years, SMEs that actively search for opportunities to develop their internationalisation process are facing risks in global marketplaces caused by unstable international situations. Risk is becoming increasingly influential in the decision-making process under uncertainty. </w:t>
      </w:r>
      <w:r w:rsidDel="00000000" w:rsidR="00000000" w:rsidRPr="00000000">
        <w:rPr>
          <w:rFonts w:ascii="Times" w:cs="Times" w:eastAsia="Times" w:hAnsi="Times"/>
          <w:sz w:val="24"/>
          <w:szCs w:val="24"/>
          <w:rtl w:val="0"/>
        </w:rPr>
        <w:t xml:space="preserve">The aforementioned effect displays particular strength in companies with an inclination towards internationalization, </w:t>
      </w:r>
      <w:r w:rsidDel="00000000" w:rsidR="00000000" w:rsidRPr="00000000">
        <w:rPr>
          <w:rFonts w:ascii="Times" w:cs="Times" w:eastAsia="Times" w:hAnsi="Times"/>
          <w:sz w:val="24"/>
          <w:szCs w:val="24"/>
          <w:highlight w:val="yellow"/>
          <w:rtl w:val="0"/>
        </w:rPr>
        <w:t xml:space="preserve">whereas how managers of SMEs as individuals build the sensemaking process under crisis and its impact on companies’ internationalisation process, is still a question.</w:t>
      </w:r>
      <w:r w:rsidDel="00000000" w:rsidR="00000000" w:rsidRPr="00000000">
        <w:rPr>
          <w:rFonts w:ascii="Times" w:cs="Times" w:eastAsia="Times" w:hAnsi="Times"/>
          <w:sz w:val="24"/>
          <w:szCs w:val="24"/>
          <w:rtl w:val="0"/>
        </w:rPr>
        <w:t xml:space="preserve"> This is the reason for increasing interest in managerial sensemaking within B2B marketing, but empirical evidence on this topic is still scarce. To address this research gap and understand how sensemaking individuals respond to risks in the process of internationalization, we introduce the Elaboration Likelihood Model (ELM) to the study, following a qualitative research approach. The present research develops a theory-building process based on a multiple-case study perspective study research design. We conduct both focus groups with 28 managers and officials from chambers of commerce across Italy and 47 semi-structured interviews with entrepreneurs, CEOs, and managers engaged in the internationalization process in different B2B industries. The main contributions of this chapter lie in a seminal explanation of B2B internationalizing companies’ sensemaking process under the framework of ELM perspective. In this dual process framework, 4 components of the central path and 3 components of the peripheral path are emerged and discussed. This study is expected to supplement the knowledge of sensemaking studies and provide empirical insights for sensemaking B2B companies’ internationalisation, especially in the crisis context.</w:t>
      </w:r>
    </w:p>
    <w:p w:rsidR="00000000" w:rsidDel="00000000" w:rsidP="00000000" w:rsidRDefault="00000000" w:rsidRPr="00000000" w14:paraId="00000005">
      <w:pPr>
        <w:numPr>
          <w:ilvl w:val="0"/>
          <w:numId w:val="1"/>
        </w:numPr>
        <w:ind w:left="720" w:hanging="360"/>
        <w:rPr>
          <w:rFonts w:ascii="Times" w:cs="Times" w:eastAsia="Times" w:hAnsi="Times"/>
          <w:sz w:val="24"/>
          <w:szCs w:val="24"/>
          <w:u w:val="none"/>
        </w:rPr>
      </w:pPr>
      <w:r w:rsidDel="00000000" w:rsidR="00000000" w:rsidRPr="00000000">
        <w:rPr>
          <w:rFonts w:ascii="Times" w:cs="Times" w:eastAsia="Times" w:hAnsi="Times"/>
          <w:sz w:val="24"/>
          <w:szCs w:val="24"/>
          <w:rtl w:val="0"/>
        </w:rPr>
        <w:t xml:space="preserve">Sensemaking in the B2B internationalisation crisis context</w:t>
      </w:r>
    </w:p>
    <w:p w:rsidR="00000000" w:rsidDel="00000000" w:rsidP="00000000" w:rsidRDefault="00000000" w:rsidRPr="00000000" w14:paraId="00000006">
      <w:pPr>
        <w:ind w:firstLine="480"/>
        <w:rPr>
          <w:rFonts w:ascii="Times" w:cs="Times" w:eastAsia="Times" w:hAnsi="Times"/>
          <w:sz w:val="24"/>
          <w:szCs w:val="24"/>
        </w:rPr>
      </w:pPr>
      <w:r w:rsidDel="00000000" w:rsidR="00000000" w:rsidRPr="00000000">
        <w:rPr>
          <w:rFonts w:ascii="Times" w:cs="Times" w:eastAsia="Times" w:hAnsi="Times"/>
          <w:sz w:val="24"/>
          <w:szCs w:val="24"/>
          <w:rtl w:val="0"/>
        </w:rPr>
        <w:t xml:space="preserve">“Sensemaking” is a concept in organizational studies which has deep roots in social psychology. The seminal work was conducted by </w:t>
      </w:r>
      <w:hyperlink r:id="rId7">
        <w:r w:rsidDel="00000000" w:rsidR="00000000" w:rsidRPr="00000000">
          <w:rPr>
            <w:rFonts w:ascii="Times" w:cs="Times" w:eastAsia="Times" w:hAnsi="Times"/>
            <w:sz w:val="24"/>
            <w:szCs w:val="24"/>
            <w:rtl w:val="0"/>
          </w:rPr>
          <w:t xml:space="preserve">Katz</w:t>
        </w:r>
      </w:hyperlink>
      <w:r w:rsidDel="00000000" w:rsidR="00000000" w:rsidRPr="00000000">
        <w:rPr>
          <w:rFonts w:ascii="Times" w:cs="Times" w:eastAsia="Times" w:hAnsi="Times"/>
          <w:sz w:val="24"/>
          <w:szCs w:val="24"/>
          <w:rtl w:val="0"/>
        </w:rPr>
        <w:t xml:space="preserve"> and </w:t>
      </w:r>
      <w:hyperlink r:id="rId8">
        <w:r w:rsidDel="00000000" w:rsidR="00000000" w:rsidRPr="00000000">
          <w:rPr>
            <w:rFonts w:ascii="Times" w:cs="Times" w:eastAsia="Times" w:hAnsi="Times"/>
            <w:sz w:val="24"/>
            <w:szCs w:val="24"/>
            <w:rtl w:val="0"/>
          </w:rPr>
          <w:t xml:space="preserve">Kahn</w:t>
        </w:r>
      </w:hyperlink>
      <w:r w:rsidDel="00000000" w:rsidR="00000000" w:rsidRPr="00000000">
        <w:rPr>
          <w:rFonts w:ascii="Times" w:cs="Times" w:eastAsia="Times" w:hAnsi="Times"/>
          <w:sz w:val="24"/>
          <w:szCs w:val="24"/>
          <w:rtl w:val="0"/>
        </w:rPr>
        <w:t xml:space="preserve">: in 1966, they published </w:t>
      </w:r>
      <w:r w:rsidDel="00000000" w:rsidR="00000000" w:rsidRPr="00000000">
        <w:rPr>
          <w:rFonts w:ascii="Times" w:cs="Times" w:eastAsia="Times" w:hAnsi="Times"/>
          <w:i w:val="1"/>
          <w:sz w:val="24"/>
          <w:szCs w:val="24"/>
          <w:rtl w:val="0"/>
        </w:rPr>
        <w:t xml:space="preserve">The Social Psychology of Organizations</w:t>
      </w:r>
      <w:r w:rsidDel="00000000" w:rsidR="00000000" w:rsidRPr="00000000">
        <w:rPr>
          <w:rFonts w:ascii="Times" w:cs="Times" w:eastAsia="Times" w:hAnsi="Times"/>
          <w:sz w:val="24"/>
          <w:szCs w:val="24"/>
          <w:rtl w:val="0"/>
        </w:rPr>
        <w:t xml:space="preserve">. </w:t>
      </w:r>
      <w:hyperlink r:id="rId9">
        <w:r w:rsidDel="00000000" w:rsidR="00000000" w:rsidRPr="00000000">
          <w:rPr>
            <w:rFonts w:ascii="Times" w:cs="Times" w:eastAsia="Times" w:hAnsi="Times"/>
            <w:sz w:val="24"/>
            <w:szCs w:val="24"/>
            <w:rtl w:val="0"/>
          </w:rPr>
          <w:t xml:space="preserve">Based on this, in 1969, Weick</w:t>
        </w:r>
      </w:hyperlink>
      <w:r w:rsidDel="00000000" w:rsidR="00000000" w:rsidRPr="00000000">
        <w:rPr>
          <w:rFonts w:ascii="Times" w:cs="Times" w:eastAsia="Times" w:hAnsi="Times"/>
          <w:sz w:val="24"/>
          <w:szCs w:val="24"/>
          <w:rtl w:val="0"/>
        </w:rPr>
        <w:t xml:space="preserve"> introduced this concept to </w:t>
      </w:r>
      <w:hyperlink r:id="rId10">
        <w:r w:rsidDel="00000000" w:rsidR="00000000" w:rsidRPr="00000000">
          <w:rPr>
            <w:rFonts w:ascii="Times" w:cs="Times" w:eastAsia="Times" w:hAnsi="Times"/>
            <w:sz w:val="24"/>
            <w:szCs w:val="24"/>
            <w:rtl w:val="0"/>
          </w:rPr>
          <w:t xml:space="preserve">organizational studies</w:t>
        </w:r>
      </w:hyperlink>
      <w:r w:rsidDel="00000000" w:rsidR="00000000" w:rsidRPr="00000000">
        <w:rPr>
          <w:rFonts w:ascii="Times" w:cs="Times" w:eastAsia="Times" w:hAnsi="Times"/>
          <w:sz w:val="24"/>
          <w:szCs w:val="24"/>
          <w:rtl w:val="0"/>
        </w:rPr>
        <w:t xml:space="preserve"> by representing the title of Katz and Kahn (1966) as </w:t>
      </w:r>
      <w:r w:rsidDel="00000000" w:rsidR="00000000" w:rsidRPr="00000000">
        <w:rPr>
          <w:rFonts w:ascii="Times" w:cs="Times" w:eastAsia="Times" w:hAnsi="Times"/>
          <w:i w:val="1"/>
          <w:sz w:val="24"/>
          <w:szCs w:val="24"/>
          <w:rtl w:val="0"/>
        </w:rPr>
        <w:t xml:space="preserve">The Social Psychology of Organizing and then he became the most representative scholar among others who studied “sensemaking”</w:t>
      </w:r>
      <w:r w:rsidDel="00000000" w:rsidR="00000000" w:rsidRPr="00000000">
        <w:rPr>
          <w:rFonts w:ascii="Times" w:cs="Times" w:eastAsia="Times" w:hAnsi="Times"/>
          <w:sz w:val="24"/>
          <w:szCs w:val="24"/>
          <w:rtl w:val="0"/>
        </w:rPr>
        <w:t xml:space="preserve">. It drives a shift in organizational theorists from a traditional focus on decision-making to constituting the meaning of decisions made in </w:t>
      </w:r>
      <w:r w:rsidDel="00000000" w:rsidR="00000000" w:rsidRPr="00000000">
        <w:rPr>
          <w:rFonts w:ascii="Times" w:cs="Times" w:eastAsia="Times" w:hAnsi="Times"/>
          <w:sz w:val="24"/>
          <w:szCs w:val="24"/>
          <w:rtl w:val="0"/>
        </w:rPr>
        <w:t xml:space="preserve">behaviour</w:t>
      </w:r>
      <w:r w:rsidDel="00000000" w:rsidR="00000000" w:rsidRPr="00000000">
        <w:rPr>
          <w:rFonts w:ascii="Times" w:cs="Times" w:eastAsia="Times" w:hAnsi="Times"/>
          <w:sz w:val="24"/>
          <w:szCs w:val="24"/>
          <w:rtl w:val="0"/>
        </w:rPr>
        <w:t xml:space="preserve">, which has implications for both theory and practice (Sayegh, 2004; Weick, 1995).</w:t>
      </w:r>
    </w:p>
    <w:p w:rsidR="00000000" w:rsidDel="00000000" w:rsidP="00000000" w:rsidRDefault="00000000" w:rsidRPr="00000000" w14:paraId="00000007">
      <w:pPr>
        <w:ind w:firstLine="480"/>
        <w:rPr>
          <w:rFonts w:ascii="Times" w:cs="Times" w:eastAsia="Times" w:hAnsi="Times"/>
          <w:sz w:val="24"/>
          <w:szCs w:val="24"/>
        </w:rPr>
      </w:pPr>
      <w:r w:rsidDel="00000000" w:rsidR="00000000" w:rsidRPr="00000000">
        <w:rPr>
          <w:rFonts w:ascii="Times" w:cs="Times" w:eastAsia="Times" w:hAnsi="Times"/>
          <w:sz w:val="24"/>
          <w:szCs w:val="24"/>
          <w:rtl w:val="0"/>
        </w:rPr>
        <w:t xml:space="preserve">Sensemaking is defined as the “ongoing retrospective development of plausible images that rationalize what people are doing” (Weick et al., 2005). The process is seen as the creation of reality as a continuous accomplishment that takes form when people make retrospective sense of the situations in which they find themselves (Weick, 1995). This is also the process of interpersonal actions that happen in a constituted “environment”. People attempt to understand the “environment” by  chopping </w:t>
      </w:r>
      <w:r w:rsidDel="00000000" w:rsidR="00000000" w:rsidRPr="00000000">
        <w:rPr>
          <w:rFonts w:ascii="Times" w:cs="Times" w:eastAsia="Times" w:hAnsi="Times"/>
          <w:i w:val="1"/>
          <w:sz w:val="24"/>
          <w:szCs w:val="24"/>
          <w:rtl w:val="0"/>
        </w:rPr>
        <w:t xml:space="preserve">ex post facto</w:t>
      </w:r>
      <w:r w:rsidDel="00000000" w:rsidR="00000000" w:rsidRPr="00000000">
        <w:rPr>
          <w:rFonts w:ascii="Times" w:cs="Times" w:eastAsia="Times" w:hAnsi="Times"/>
          <w:sz w:val="24"/>
          <w:szCs w:val="24"/>
          <w:rtl w:val="0"/>
        </w:rPr>
        <w:t xml:space="preserve"> their lived experiences into meaningful chunks, labelling them and connecting them (</w:t>
      </w:r>
      <w:r w:rsidDel="00000000" w:rsidR="00000000" w:rsidRPr="00000000">
        <w:rPr>
          <w:rFonts w:ascii="Times" w:cs="Times" w:eastAsia="Times" w:hAnsi="Times"/>
          <w:sz w:val="24"/>
          <w:szCs w:val="24"/>
          <w:rtl w:val="0"/>
        </w:rPr>
        <w:t xml:space="preserve">Weick &amp; Sutcliffe</w:t>
      </w:r>
      <w:r w:rsidDel="00000000" w:rsidR="00000000" w:rsidRPr="00000000">
        <w:rPr>
          <w:rFonts w:ascii="Times" w:cs="Times" w:eastAsia="Times" w:hAnsi="Times"/>
          <w:sz w:val="24"/>
          <w:szCs w:val="24"/>
          <w:rtl w:val="0"/>
        </w:rPr>
        <w:t xml:space="preserve">, 2015). This process enables people to make sense of ambiguous, equivocal, or confusing issues or events (Brown et al., 2015). It involves comprehending the environment into situations that can be clearly understood and described in language and serve as a springboard for actions (Weick et al., 2015). </w:t>
      </w:r>
    </w:p>
    <w:p w:rsidR="00000000" w:rsidDel="00000000" w:rsidP="00000000" w:rsidRDefault="00000000" w:rsidRPr="00000000" w14:paraId="00000008">
      <w:pPr>
        <w:ind w:firstLine="480"/>
        <w:rPr>
          <w:rFonts w:ascii="Times" w:cs="Times" w:eastAsia="Times" w:hAnsi="Times"/>
          <w:sz w:val="24"/>
          <w:szCs w:val="24"/>
        </w:rPr>
      </w:pPr>
      <w:r w:rsidDel="00000000" w:rsidR="00000000" w:rsidRPr="00000000">
        <w:rPr>
          <w:rFonts w:ascii="Times" w:cs="Times" w:eastAsia="Times" w:hAnsi="Times"/>
          <w:sz w:val="24"/>
          <w:szCs w:val="24"/>
          <w:rtl w:val="0"/>
        </w:rPr>
        <w:t xml:space="preserve">The purpose of the organization is jointly shaped by the organizational actors during actions (</w:t>
      </w:r>
      <w:r w:rsidDel="00000000" w:rsidR="00000000" w:rsidRPr="00000000">
        <w:rPr>
          <w:rFonts w:ascii="Times" w:cs="Times" w:eastAsia="Times" w:hAnsi="Times"/>
          <w:sz w:val="24"/>
          <w:szCs w:val="24"/>
          <w:rtl w:val="0"/>
        </w:rPr>
        <w:t xml:space="preserve">Allaire &amp; Firsirotu, 1984)</w:t>
      </w:r>
      <w:r w:rsidDel="00000000" w:rsidR="00000000" w:rsidRPr="00000000">
        <w:rPr>
          <w:rFonts w:ascii="Times" w:cs="Times" w:eastAsia="Times" w:hAnsi="Times"/>
          <w:sz w:val="24"/>
          <w:szCs w:val="24"/>
          <w:rtl w:val="0"/>
        </w:rPr>
        <w:t xml:space="preserve">. Unlike the general idea that people need strong and charismatic leaders to impose </w:t>
      </w:r>
      <w:r w:rsidDel="00000000" w:rsidR="00000000" w:rsidRPr="00000000">
        <w:rPr>
          <w:rFonts w:ascii="Times" w:cs="Times" w:eastAsia="Times" w:hAnsi="Times"/>
          <w:i w:val="1"/>
          <w:sz w:val="24"/>
          <w:szCs w:val="24"/>
          <w:rtl w:val="0"/>
        </w:rPr>
        <w:t xml:space="preserve">meaning</w:t>
      </w:r>
      <w:r w:rsidDel="00000000" w:rsidR="00000000" w:rsidRPr="00000000">
        <w:rPr>
          <w:rFonts w:ascii="Times" w:cs="Times" w:eastAsia="Times" w:hAnsi="Times"/>
          <w:sz w:val="24"/>
          <w:szCs w:val="24"/>
          <w:rtl w:val="0"/>
        </w:rPr>
        <w:t xml:space="preserve"> on organizations, Weick (1995) specifically emphasized the importance of organizational decision-makers’ </w:t>
      </w:r>
      <w:r w:rsidDel="00000000" w:rsidR="00000000" w:rsidRPr="00000000">
        <w:rPr>
          <w:rFonts w:ascii="Times" w:cs="Times" w:eastAsia="Times" w:hAnsi="Times"/>
          <w:i w:val="1"/>
          <w:sz w:val="24"/>
          <w:szCs w:val="24"/>
          <w:rtl w:val="0"/>
        </w:rPr>
        <w:t xml:space="preserve">actions</w:t>
      </w:r>
      <w:r w:rsidDel="00000000" w:rsidR="00000000" w:rsidRPr="00000000">
        <w:rPr>
          <w:rFonts w:ascii="Times" w:cs="Times" w:eastAsia="Times" w:hAnsi="Times"/>
          <w:sz w:val="24"/>
          <w:szCs w:val="24"/>
          <w:rtl w:val="0"/>
        </w:rPr>
        <w:t xml:space="preserve"> and </w:t>
      </w:r>
      <w:r w:rsidDel="00000000" w:rsidR="00000000" w:rsidRPr="00000000">
        <w:rPr>
          <w:rFonts w:ascii="Times" w:cs="Times" w:eastAsia="Times" w:hAnsi="Times"/>
          <w:i w:val="1"/>
          <w:sz w:val="24"/>
          <w:szCs w:val="24"/>
          <w:rtl w:val="0"/>
        </w:rPr>
        <w:t xml:space="preserve">beliefs</w:t>
      </w:r>
      <w:r w:rsidDel="00000000" w:rsidR="00000000" w:rsidRPr="00000000">
        <w:rPr>
          <w:rFonts w:ascii="Times" w:cs="Times" w:eastAsia="Times" w:hAnsi="Times"/>
          <w:sz w:val="24"/>
          <w:szCs w:val="24"/>
          <w:rtl w:val="0"/>
        </w:rPr>
        <w:t xml:space="preserve"> in organizational development that drive the process of organizational sensemaking. Oddly enough, sensemaking starts with actions rather than beliefs (Weick, 1998). This irrational inversion from "think before acting" to "think before acting" has led to an extremely rational approach, seeing is believing. What people keep missing is that what they see is often the result of their own previous actions (</w:t>
      </w:r>
      <w:r w:rsidDel="00000000" w:rsidR="00000000" w:rsidRPr="00000000">
        <w:rPr>
          <w:rFonts w:ascii="Times" w:cs="Times" w:eastAsia="Times" w:hAnsi="Times"/>
          <w:sz w:val="24"/>
          <w:szCs w:val="24"/>
          <w:rtl w:val="0"/>
        </w:rPr>
        <w:t xml:space="preserve">Tomasello, 2018).</w:t>
      </w:r>
      <w:r w:rsidDel="00000000" w:rsidR="00000000" w:rsidRPr="00000000">
        <w:rPr>
          <w:rtl w:val="0"/>
        </w:rPr>
      </w:r>
    </w:p>
    <w:p w:rsidR="00000000" w:rsidDel="00000000" w:rsidP="00000000" w:rsidRDefault="00000000" w:rsidRPr="00000000" w14:paraId="00000009">
      <w:pPr>
        <w:ind w:firstLine="480"/>
        <w:rPr>
          <w:rFonts w:ascii="Times" w:cs="Times" w:eastAsia="Times" w:hAnsi="Times"/>
          <w:sz w:val="24"/>
          <w:szCs w:val="24"/>
        </w:rPr>
      </w:pPr>
      <w:r w:rsidDel="00000000" w:rsidR="00000000" w:rsidRPr="00000000">
        <w:rPr>
          <w:rFonts w:ascii="Times" w:cs="Times" w:eastAsia="Times" w:hAnsi="Times"/>
          <w:sz w:val="24"/>
          <w:szCs w:val="24"/>
          <w:rtl w:val="0"/>
        </w:rPr>
        <w:t xml:space="preserve">The coherence in the process of sensemaking might arise by focusing on what people do rather than what people believe (</w:t>
      </w:r>
      <w:r w:rsidDel="00000000" w:rsidR="00000000" w:rsidRPr="00000000">
        <w:rPr>
          <w:rFonts w:ascii="Times" w:cs="Times" w:eastAsia="Times" w:hAnsi="Times"/>
          <w:sz w:val="24"/>
          <w:szCs w:val="24"/>
          <w:rtl w:val="0"/>
        </w:rPr>
        <w:t xml:space="preserve">Maitlis &amp; Sonenshein, 2010)</w:t>
      </w:r>
      <w:r w:rsidDel="00000000" w:rsidR="00000000" w:rsidRPr="00000000">
        <w:rPr>
          <w:rFonts w:ascii="Times" w:cs="Times" w:eastAsia="Times" w:hAnsi="Times"/>
          <w:sz w:val="24"/>
          <w:szCs w:val="24"/>
          <w:rtl w:val="0"/>
        </w:rPr>
        <w:t xml:space="preserve">. Sensemaking processes that originate in </w:t>
      </w:r>
      <w:r w:rsidDel="00000000" w:rsidR="00000000" w:rsidRPr="00000000">
        <w:rPr>
          <w:rFonts w:ascii="Times" w:cs="Times" w:eastAsia="Times" w:hAnsi="Times"/>
          <w:i w:val="1"/>
          <w:sz w:val="24"/>
          <w:szCs w:val="24"/>
          <w:rtl w:val="0"/>
        </w:rPr>
        <w:t xml:space="preserve">action</w:t>
      </w:r>
      <w:r w:rsidDel="00000000" w:rsidR="00000000" w:rsidRPr="00000000">
        <w:rPr>
          <w:rFonts w:ascii="Times" w:cs="Times" w:eastAsia="Times" w:hAnsi="Times"/>
          <w:sz w:val="24"/>
          <w:szCs w:val="24"/>
          <w:rtl w:val="0"/>
        </w:rPr>
        <w:t xml:space="preserve"> involve </w:t>
      </w:r>
      <w:r w:rsidDel="00000000" w:rsidR="00000000" w:rsidRPr="00000000">
        <w:rPr>
          <w:rFonts w:ascii="Times" w:cs="Times" w:eastAsia="Times" w:hAnsi="Times"/>
          <w:i w:val="1"/>
          <w:sz w:val="24"/>
          <w:szCs w:val="24"/>
          <w:rtl w:val="0"/>
        </w:rPr>
        <w:t xml:space="preserve">committing</w:t>
      </w:r>
      <w:r w:rsidDel="00000000" w:rsidR="00000000" w:rsidRPr="00000000">
        <w:rPr>
          <w:rFonts w:ascii="Times" w:cs="Times" w:eastAsia="Times" w:hAnsi="Times"/>
          <w:sz w:val="24"/>
          <w:szCs w:val="24"/>
          <w:rtl w:val="0"/>
        </w:rPr>
        <w:t xml:space="preserve"> and </w:t>
      </w:r>
      <w:r w:rsidDel="00000000" w:rsidR="00000000" w:rsidRPr="00000000">
        <w:rPr>
          <w:rFonts w:ascii="Times" w:cs="Times" w:eastAsia="Times" w:hAnsi="Times"/>
          <w:i w:val="1"/>
          <w:sz w:val="24"/>
          <w:szCs w:val="24"/>
          <w:rtl w:val="0"/>
        </w:rPr>
        <w:t xml:space="preserve">manipulating</w:t>
      </w:r>
      <w:r w:rsidDel="00000000" w:rsidR="00000000" w:rsidRPr="00000000">
        <w:rPr>
          <w:rFonts w:ascii="Times" w:cs="Times" w:eastAsia="Times" w:hAnsi="Times"/>
          <w:sz w:val="24"/>
          <w:szCs w:val="24"/>
          <w:rtl w:val="0"/>
        </w:rPr>
        <w:t xml:space="preserve"> (Weick, 1995). The former relates to the interpretation that explains behaviours for which people are responsible whereas the latter involves stabilizing and simplifying unstable sets of events in the perceived world by operations on the world itself rather than on the perceiver (</w:t>
      </w:r>
      <w:r w:rsidDel="00000000" w:rsidR="00000000" w:rsidRPr="00000000">
        <w:rPr>
          <w:rFonts w:ascii="Times" w:cs="Times" w:eastAsia="Times" w:hAnsi="Times"/>
          <w:sz w:val="24"/>
          <w:szCs w:val="24"/>
          <w:rtl w:val="0"/>
        </w:rPr>
        <w:t xml:space="preserve">Hald, 2012)</w:t>
      </w:r>
      <w:r w:rsidDel="00000000" w:rsidR="00000000" w:rsidRPr="00000000">
        <w:rPr>
          <w:rFonts w:ascii="Times" w:cs="Times" w:eastAsia="Times" w:hAnsi="Times"/>
          <w:sz w:val="24"/>
          <w:szCs w:val="24"/>
          <w:rtl w:val="0"/>
        </w:rPr>
        <w:t xml:space="preserve">. </w:t>
      </w:r>
    </w:p>
    <w:p w:rsidR="00000000" w:rsidDel="00000000" w:rsidP="00000000" w:rsidRDefault="00000000" w:rsidRPr="00000000" w14:paraId="0000000A">
      <w:pPr>
        <w:ind w:firstLine="480"/>
        <w:rPr>
          <w:rFonts w:ascii="Times" w:cs="Times" w:eastAsia="Times" w:hAnsi="Times"/>
          <w:sz w:val="24"/>
          <w:szCs w:val="24"/>
        </w:rPr>
      </w:pPr>
      <w:r w:rsidDel="00000000" w:rsidR="00000000" w:rsidRPr="00000000">
        <w:rPr>
          <w:rFonts w:ascii="Times" w:cs="Times" w:eastAsia="Times" w:hAnsi="Times"/>
          <w:sz w:val="24"/>
          <w:szCs w:val="24"/>
          <w:rtl w:val="0"/>
        </w:rPr>
        <w:t xml:space="preserve">The mindset of sensemaking is a framework that can be considered as a set of heuristics rather than as an algorithm (Weick, 1995). Thus, different from the mechanism of </w:t>
      </w:r>
      <w:r w:rsidDel="00000000" w:rsidR="00000000" w:rsidRPr="00000000">
        <w:rPr>
          <w:rFonts w:ascii="Times" w:cs="Times" w:eastAsia="Times" w:hAnsi="Times"/>
          <w:i w:val="1"/>
          <w:sz w:val="24"/>
          <w:szCs w:val="24"/>
          <w:rtl w:val="0"/>
        </w:rPr>
        <w:t xml:space="preserve">action-driven</w:t>
      </w:r>
      <w:r w:rsidDel="00000000" w:rsidR="00000000" w:rsidRPr="00000000">
        <w:rPr>
          <w:rFonts w:ascii="Times" w:cs="Times" w:eastAsia="Times" w:hAnsi="Times"/>
          <w:sz w:val="24"/>
          <w:szCs w:val="24"/>
          <w:rtl w:val="0"/>
        </w:rPr>
        <w:t xml:space="preserve"> meaning construction, </w:t>
      </w:r>
      <w:r w:rsidDel="00000000" w:rsidR="00000000" w:rsidRPr="00000000">
        <w:rPr>
          <w:rFonts w:ascii="Times" w:cs="Times" w:eastAsia="Times" w:hAnsi="Times"/>
          <w:i w:val="1"/>
          <w:sz w:val="24"/>
          <w:szCs w:val="24"/>
          <w:rtl w:val="0"/>
        </w:rPr>
        <w:t xml:space="preserve">belief-driven</w:t>
      </w:r>
      <w:r w:rsidDel="00000000" w:rsidR="00000000" w:rsidRPr="00000000">
        <w:rPr>
          <w:rFonts w:ascii="Times" w:cs="Times" w:eastAsia="Times" w:hAnsi="Times"/>
          <w:sz w:val="24"/>
          <w:szCs w:val="24"/>
          <w:rtl w:val="0"/>
        </w:rPr>
        <w:t xml:space="preserve"> </w:t>
      </w:r>
      <w:r w:rsidDel="00000000" w:rsidR="00000000" w:rsidRPr="00000000">
        <w:rPr>
          <w:rFonts w:ascii="Times" w:cs="Times" w:eastAsia="Times" w:hAnsi="Times"/>
          <w:sz w:val="24"/>
          <w:szCs w:val="24"/>
          <w:rtl w:val="0"/>
        </w:rPr>
        <w:t xml:space="preserve">meaning constructs through the mechanism of guiding interpretation and influencing target events (</w:t>
      </w:r>
      <w:r w:rsidDel="00000000" w:rsidR="00000000" w:rsidRPr="00000000">
        <w:rPr>
          <w:rFonts w:ascii="Times" w:cs="Times" w:eastAsia="Times" w:hAnsi="Times"/>
          <w:sz w:val="24"/>
          <w:szCs w:val="24"/>
          <w:rtl w:val="0"/>
        </w:rPr>
        <w:t xml:space="preserve">Choo, 2002)</w:t>
      </w:r>
      <w:r w:rsidDel="00000000" w:rsidR="00000000" w:rsidRPr="00000000">
        <w:rPr>
          <w:rFonts w:ascii="Times" w:cs="Times" w:eastAsia="Times" w:hAnsi="Times"/>
          <w:sz w:val="24"/>
          <w:szCs w:val="24"/>
          <w:rtl w:val="0"/>
        </w:rPr>
        <w:t xml:space="preserve">. In the sensemaking process, both </w:t>
      </w:r>
      <w:r w:rsidDel="00000000" w:rsidR="00000000" w:rsidRPr="00000000">
        <w:rPr>
          <w:rFonts w:ascii="Times" w:cs="Times" w:eastAsia="Times" w:hAnsi="Times"/>
          <w:i w:val="1"/>
          <w:sz w:val="24"/>
          <w:szCs w:val="24"/>
          <w:rtl w:val="0"/>
        </w:rPr>
        <w:t xml:space="preserve">arguing</w:t>
      </w:r>
      <w:r w:rsidDel="00000000" w:rsidR="00000000" w:rsidRPr="00000000">
        <w:rPr>
          <w:rFonts w:ascii="Times" w:cs="Times" w:eastAsia="Times" w:hAnsi="Times"/>
          <w:sz w:val="24"/>
          <w:szCs w:val="24"/>
          <w:rtl w:val="0"/>
        </w:rPr>
        <w:t xml:space="preserve"> and </w:t>
      </w:r>
      <w:r w:rsidDel="00000000" w:rsidR="00000000" w:rsidRPr="00000000">
        <w:rPr>
          <w:rFonts w:ascii="Times" w:cs="Times" w:eastAsia="Times" w:hAnsi="Times"/>
          <w:i w:val="1"/>
          <w:sz w:val="24"/>
          <w:szCs w:val="24"/>
          <w:rtl w:val="0"/>
        </w:rPr>
        <w:t xml:space="preserve">expecting</w:t>
      </w:r>
      <w:r w:rsidDel="00000000" w:rsidR="00000000" w:rsidRPr="00000000">
        <w:rPr>
          <w:rFonts w:ascii="Times" w:cs="Times" w:eastAsia="Times" w:hAnsi="Times"/>
          <w:sz w:val="24"/>
          <w:szCs w:val="24"/>
          <w:rtl w:val="0"/>
        </w:rPr>
        <w:t xml:space="preserve"> represent regulations that start with </w:t>
      </w:r>
      <w:r w:rsidDel="00000000" w:rsidR="00000000" w:rsidRPr="00000000">
        <w:rPr>
          <w:rFonts w:ascii="Times" w:cs="Times" w:eastAsia="Times" w:hAnsi="Times"/>
          <w:i w:val="1"/>
          <w:sz w:val="24"/>
          <w:szCs w:val="24"/>
          <w:rtl w:val="0"/>
        </w:rPr>
        <w:t xml:space="preserve">beliefs</w:t>
      </w:r>
      <w:r w:rsidDel="00000000" w:rsidR="00000000" w:rsidRPr="00000000">
        <w:rPr>
          <w:rFonts w:ascii="Times" w:cs="Times" w:eastAsia="Times" w:hAnsi="Times"/>
          <w:sz w:val="24"/>
          <w:szCs w:val="24"/>
          <w:rtl w:val="0"/>
        </w:rPr>
        <w:t xml:space="preserve">. Because beliefs, embedded in frameworks such as ideologies or paradigms, influence what people notice and how events unfold (Sproull, 1981). Since beliefs vary from person to person, we should pay close attention to orderly interactions implemented in </w:t>
      </w:r>
      <w:r w:rsidDel="00000000" w:rsidR="00000000" w:rsidRPr="00000000">
        <w:rPr>
          <w:rFonts w:ascii="Times" w:cs="Times" w:eastAsia="Times" w:hAnsi="Times"/>
          <w:i w:val="1"/>
          <w:sz w:val="24"/>
          <w:szCs w:val="24"/>
          <w:rtl w:val="0"/>
        </w:rPr>
        <w:t xml:space="preserve">arguments</w:t>
      </w:r>
      <w:r w:rsidDel="00000000" w:rsidR="00000000" w:rsidRPr="00000000">
        <w:rPr>
          <w:rFonts w:ascii="Times" w:cs="Times" w:eastAsia="Times" w:hAnsi="Times"/>
          <w:sz w:val="24"/>
          <w:szCs w:val="24"/>
          <w:rtl w:val="0"/>
        </w:rPr>
        <w:t xml:space="preserve"> to reduce the bias caused by the diversity of beliefs that are thought to be related and noticed (</w:t>
      </w:r>
      <w:r w:rsidDel="00000000" w:rsidR="00000000" w:rsidRPr="00000000">
        <w:rPr>
          <w:rFonts w:ascii="Times" w:cs="Times" w:eastAsia="Times" w:hAnsi="Times"/>
          <w:sz w:val="24"/>
          <w:szCs w:val="24"/>
          <w:rtl w:val="0"/>
        </w:rPr>
        <w:t xml:space="preserve">Stanovich &amp; West, 1997)</w:t>
      </w:r>
      <w:r w:rsidDel="00000000" w:rsidR="00000000" w:rsidRPr="00000000">
        <w:rPr>
          <w:rFonts w:ascii="Times" w:cs="Times" w:eastAsia="Times" w:hAnsi="Times"/>
          <w:sz w:val="24"/>
          <w:szCs w:val="24"/>
          <w:rtl w:val="0"/>
        </w:rPr>
        <w:t xml:space="preserve">. The argument that self-fulfilling prophecy and behavioural validation are fundamental sensemaking processes is similar to the recent focus of those studying behavioural validation from a functional perspective (Melo et al., 2021). Their convergence of meaning, sensemaking construction, and social knowledge acquisition as an accompaniment to behavioural validation illuminate the process of </w:t>
      </w:r>
      <w:r w:rsidDel="00000000" w:rsidR="00000000" w:rsidRPr="00000000">
        <w:rPr>
          <w:rFonts w:ascii="Times" w:cs="Times" w:eastAsia="Times" w:hAnsi="Times"/>
          <w:i w:val="1"/>
          <w:sz w:val="24"/>
          <w:szCs w:val="24"/>
          <w:rtl w:val="0"/>
        </w:rPr>
        <w:t xml:space="preserve">expecting </w:t>
      </w:r>
      <w:r w:rsidDel="00000000" w:rsidR="00000000" w:rsidRPr="00000000">
        <w:rPr>
          <w:rFonts w:ascii="Times" w:cs="Times" w:eastAsia="Times" w:hAnsi="Times"/>
          <w:sz w:val="24"/>
          <w:szCs w:val="24"/>
          <w:rtl w:val="0"/>
        </w:rPr>
        <w:t xml:space="preserve">(Weick, 1995).</w:t>
      </w:r>
    </w:p>
    <w:p w:rsidR="00000000" w:rsidDel="00000000" w:rsidP="00000000" w:rsidRDefault="00000000" w:rsidRPr="00000000" w14:paraId="0000000B">
      <w:pPr>
        <w:ind w:firstLine="480"/>
        <w:rPr>
          <w:rFonts w:ascii="Times" w:cs="Times" w:eastAsia="Times" w:hAnsi="Times"/>
          <w:sz w:val="24"/>
          <w:szCs w:val="24"/>
        </w:rPr>
      </w:pPr>
      <w:r w:rsidDel="00000000" w:rsidR="00000000" w:rsidRPr="00000000">
        <w:rPr>
          <w:rFonts w:ascii="Times" w:cs="Times" w:eastAsia="Times" w:hAnsi="Times"/>
          <w:sz w:val="24"/>
          <w:szCs w:val="24"/>
          <w:rtl w:val="0"/>
        </w:rPr>
        <w:t xml:space="preserve">Sensemaking is now seen as a constructive practice which includes both the individual level and the organisational level. The individual level refers to the process of individuals constructing a </w:t>
      </w:r>
      <w:r w:rsidDel="00000000" w:rsidR="00000000" w:rsidRPr="00000000">
        <w:rPr>
          <w:rFonts w:ascii="Times" w:cs="Times" w:eastAsia="Times" w:hAnsi="Times"/>
          <w:i w:val="1"/>
          <w:sz w:val="24"/>
          <w:szCs w:val="24"/>
          <w:rtl w:val="0"/>
        </w:rPr>
        <w:t xml:space="preserve">cognitive map</w:t>
      </w:r>
      <w:r w:rsidDel="00000000" w:rsidR="00000000" w:rsidRPr="00000000">
        <w:rPr>
          <w:rFonts w:ascii="Times" w:cs="Times" w:eastAsia="Times" w:hAnsi="Times"/>
          <w:sz w:val="24"/>
          <w:szCs w:val="24"/>
          <w:rtl w:val="0"/>
        </w:rPr>
        <w:t xml:space="preserve"> of the environment, whereas organizational sensemaking refers to the organization's continuous construction of reasonable </w:t>
      </w:r>
      <w:r w:rsidDel="00000000" w:rsidR="00000000" w:rsidRPr="00000000">
        <w:rPr>
          <w:rFonts w:ascii="Times" w:cs="Times" w:eastAsia="Times" w:hAnsi="Times"/>
          <w:i w:val="1"/>
          <w:sz w:val="24"/>
          <w:szCs w:val="24"/>
          <w:rtl w:val="0"/>
        </w:rPr>
        <w:t xml:space="preserve">meanings</w:t>
      </w:r>
      <w:r w:rsidDel="00000000" w:rsidR="00000000" w:rsidRPr="00000000">
        <w:rPr>
          <w:rFonts w:ascii="Times" w:cs="Times" w:eastAsia="Times" w:hAnsi="Times"/>
          <w:sz w:val="24"/>
          <w:szCs w:val="24"/>
          <w:rtl w:val="0"/>
        </w:rPr>
        <w:t xml:space="preserve"> to rationalize its own behaviour (</w:t>
      </w:r>
      <w:r w:rsidDel="00000000" w:rsidR="00000000" w:rsidRPr="00000000">
        <w:rPr>
          <w:rFonts w:ascii="Times" w:cs="Times" w:eastAsia="Times" w:hAnsi="Times"/>
          <w:sz w:val="24"/>
          <w:szCs w:val="24"/>
          <w:rtl w:val="0"/>
        </w:rPr>
        <w:t xml:space="preserve">Drazin et al., 1999)</w:t>
      </w:r>
      <w:r w:rsidDel="00000000" w:rsidR="00000000" w:rsidRPr="00000000">
        <w:rPr>
          <w:rFonts w:ascii="Times" w:cs="Times" w:eastAsia="Times" w:hAnsi="Times"/>
          <w:sz w:val="24"/>
          <w:szCs w:val="24"/>
          <w:rtl w:val="0"/>
        </w:rPr>
        <w:t xml:space="preserve">. This understanding is retained in their minds in the form of a cognitive “cause map”, showing the key elements for performing a task and the relationships between them. Through ongoing interaction, individuals relate their actions over time, and in doing so, they deal with the residual ambiguity they seek to resolve by reaching a consensus on their common tasks and how they should be handled. So a group of people becomes organized when their “cause maps” converge (Weick, 1979). At the organisational level, sensemaking is also the process by which people give </w:t>
      </w:r>
      <w:hyperlink r:id="rId11">
        <w:r w:rsidDel="00000000" w:rsidR="00000000" w:rsidRPr="00000000">
          <w:rPr>
            <w:rFonts w:ascii="Times" w:cs="Times" w:eastAsia="Times" w:hAnsi="Times"/>
            <w:sz w:val="24"/>
            <w:szCs w:val="24"/>
            <w:rtl w:val="0"/>
          </w:rPr>
          <w:t xml:space="preserve">meaning</w:t>
        </w:r>
      </w:hyperlink>
      <w:r w:rsidDel="00000000" w:rsidR="00000000" w:rsidRPr="00000000">
        <w:rPr>
          <w:rFonts w:ascii="Times" w:cs="Times" w:eastAsia="Times" w:hAnsi="Times"/>
          <w:sz w:val="24"/>
          <w:szCs w:val="24"/>
          <w:rtl w:val="0"/>
        </w:rPr>
        <w:t xml:space="preserve"> to their collective experiences (</w:t>
      </w:r>
      <w:r w:rsidDel="00000000" w:rsidR="00000000" w:rsidRPr="00000000">
        <w:rPr>
          <w:rFonts w:ascii="Times" w:cs="Times" w:eastAsia="Times" w:hAnsi="Times"/>
          <w:sz w:val="24"/>
          <w:szCs w:val="24"/>
          <w:rtl w:val="0"/>
        </w:rPr>
        <w:t xml:space="preserve">Boyce, 1995). S</w:t>
      </w:r>
      <w:r w:rsidDel="00000000" w:rsidR="00000000" w:rsidRPr="00000000">
        <w:rPr>
          <w:rFonts w:ascii="Times" w:cs="Times" w:eastAsia="Times" w:hAnsi="Times"/>
          <w:sz w:val="24"/>
          <w:szCs w:val="24"/>
          <w:rtl w:val="0"/>
        </w:rPr>
        <w:t xml:space="preserve">ensemaking belies its central role in determining human behaviour, whether people are acting in formal organizations or elsewhere (</w:t>
      </w:r>
      <w:r w:rsidDel="00000000" w:rsidR="00000000" w:rsidRPr="00000000">
        <w:rPr>
          <w:rFonts w:ascii="Times" w:cs="Times" w:eastAsia="Times" w:hAnsi="Times"/>
          <w:sz w:val="24"/>
          <w:szCs w:val="24"/>
          <w:rtl w:val="0"/>
        </w:rPr>
        <w:t xml:space="preserve">Sandberg &amp; Tsoukas, 2015)</w:t>
      </w:r>
      <w:r w:rsidDel="00000000" w:rsidR="00000000" w:rsidRPr="00000000">
        <w:rPr>
          <w:rFonts w:ascii="Times" w:cs="Times" w:eastAsia="Times" w:hAnsi="Times"/>
          <w:sz w:val="24"/>
          <w:szCs w:val="24"/>
          <w:rtl w:val="0"/>
        </w:rPr>
        <w:t xml:space="preserve">.  </w:t>
      </w:r>
    </w:p>
    <w:p w:rsidR="00000000" w:rsidDel="00000000" w:rsidP="00000000" w:rsidRDefault="00000000" w:rsidRPr="00000000" w14:paraId="0000000C">
      <w:pPr>
        <w:ind w:firstLine="480"/>
        <w:rPr>
          <w:rFonts w:ascii="Times" w:cs="Times" w:eastAsia="Times" w:hAnsi="Times"/>
          <w:sz w:val="24"/>
          <w:szCs w:val="24"/>
        </w:rPr>
      </w:pPr>
      <w:r w:rsidDel="00000000" w:rsidR="00000000" w:rsidRPr="00000000">
        <w:rPr>
          <w:rFonts w:ascii="Times" w:cs="Times" w:eastAsia="Times" w:hAnsi="Times"/>
          <w:sz w:val="24"/>
          <w:szCs w:val="24"/>
          <w:rtl w:val="0"/>
        </w:rPr>
        <w:t xml:space="preserve">Wick is not only the converter of the theory of organizational meaning construction but also the first scholar to introduce it into the study of organizational crisis and change (Weick, 1998). Organizational meaning construction theory shifts the focus of an organization from a static structure to a dynamic process, emphasizing the change and development of the organization and its dynamics (</w:t>
      </w:r>
      <w:r w:rsidDel="00000000" w:rsidR="00000000" w:rsidRPr="00000000">
        <w:rPr>
          <w:rFonts w:ascii="Times" w:cs="Times" w:eastAsia="Times" w:hAnsi="Times"/>
          <w:sz w:val="24"/>
          <w:szCs w:val="24"/>
          <w:rtl w:val="0"/>
        </w:rPr>
        <w:t xml:space="preserve">Seo &amp; Creed, 2002)</w:t>
      </w:r>
      <w:r w:rsidDel="00000000" w:rsidR="00000000" w:rsidRPr="00000000">
        <w:rPr>
          <w:rFonts w:ascii="Times" w:cs="Times" w:eastAsia="Times" w:hAnsi="Times"/>
          <w:sz w:val="24"/>
          <w:szCs w:val="24"/>
          <w:rtl w:val="0"/>
        </w:rPr>
        <w:t xml:space="preserve">. As an organizational research method emphasizing process orientation, it has been used as a new way to analyze the change process in the organization (</w:t>
      </w:r>
      <w:r w:rsidDel="00000000" w:rsidR="00000000" w:rsidRPr="00000000">
        <w:rPr>
          <w:rFonts w:ascii="Times" w:cs="Times" w:eastAsia="Times" w:hAnsi="Times"/>
          <w:sz w:val="24"/>
          <w:szCs w:val="24"/>
          <w:rtl w:val="0"/>
        </w:rPr>
        <w:t xml:space="preserve">Gioia &amp; Thomas, 1996)</w:t>
      </w:r>
      <w:r w:rsidDel="00000000" w:rsidR="00000000" w:rsidRPr="00000000">
        <w:rPr>
          <w:rFonts w:ascii="Times" w:cs="Times" w:eastAsia="Times" w:hAnsi="Times"/>
          <w:sz w:val="24"/>
          <w:szCs w:val="24"/>
          <w:rtl w:val="0"/>
        </w:rPr>
        <w:t xml:space="preserve">.</w:t>
      </w:r>
    </w:p>
    <w:p w:rsidR="00000000" w:rsidDel="00000000" w:rsidP="00000000" w:rsidRDefault="00000000" w:rsidRPr="00000000" w14:paraId="0000000D">
      <w:pPr>
        <w:ind w:firstLine="480"/>
        <w:rPr>
          <w:rFonts w:ascii="Times" w:cs="Times" w:eastAsia="Times" w:hAnsi="Times"/>
          <w:sz w:val="24"/>
          <w:szCs w:val="24"/>
        </w:rPr>
      </w:pPr>
      <w:r w:rsidDel="00000000" w:rsidR="00000000" w:rsidRPr="00000000">
        <w:rPr>
          <w:rFonts w:ascii="Times" w:cs="Times" w:eastAsia="Times" w:hAnsi="Times"/>
          <w:sz w:val="24"/>
          <w:szCs w:val="24"/>
          <w:rtl w:val="0"/>
        </w:rPr>
        <w:t xml:space="preserve">Despite their public image as rational systems designed to achieve goals, organizations are also loosely coupled systems in which actions are unclear, insufficiently rationalized, and monitored only when deviations are extreme (</w:t>
      </w:r>
      <w:r w:rsidDel="00000000" w:rsidR="00000000" w:rsidRPr="00000000">
        <w:rPr>
          <w:rFonts w:ascii="Times" w:cs="Times" w:eastAsia="Times" w:hAnsi="Times"/>
          <w:sz w:val="24"/>
          <w:szCs w:val="24"/>
          <w:rtl w:val="0"/>
        </w:rPr>
        <w:t xml:space="preserve">Meyer &amp; Rowan, 1977). Research in the field of sense-making and management in business networks may contribute to understanding how managers respond to situational complexity in business networks, and how managers structure the forms in which this complexity emerges (Henneberg et al., 2010). Managers seem to acquire knowledge of many spatial relationships in complex spatial arrangements from direct experience of a small number of these relationships (Alvesson &amp; Kärreman, 2001). Understanding complex business networks helps managers understand their own position, and the options for change available to them (Henneberg et al., 2010). This is especially true when companies need to enter overseas markets.</w:t>
      </w:r>
    </w:p>
    <w:p w:rsidR="00000000" w:rsidDel="00000000" w:rsidP="00000000" w:rsidRDefault="00000000" w:rsidRPr="00000000" w14:paraId="0000000E">
      <w:pPr>
        <w:ind w:firstLine="480"/>
        <w:rPr>
          <w:rFonts w:ascii="Times" w:cs="Times" w:eastAsia="Times" w:hAnsi="Times"/>
          <w:sz w:val="24"/>
          <w:szCs w:val="24"/>
        </w:rPr>
      </w:pPr>
      <w:r w:rsidDel="00000000" w:rsidR="00000000" w:rsidRPr="00000000">
        <w:rPr>
          <w:rFonts w:ascii="Times" w:cs="Times" w:eastAsia="Times" w:hAnsi="Times"/>
          <w:sz w:val="24"/>
          <w:szCs w:val="24"/>
          <w:rtl w:val="0"/>
        </w:rPr>
        <w:t xml:space="preserve">A solidly constructed world is a stable world, stabilized by expectations confirmed by behaviour. The perceiver and the target work together to achieve this stability since neither of them welcomes uncertainty. Unlike their individual goals, which may differ, they share stable goals in the service of sensemaking. If this stability can be achieved by a momentary convergence of the more powerful and the less powerful in an expectation, then this is what we would expect to find</w:t>
      </w:r>
      <w:r w:rsidDel="00000000" w:rsidR="00000000" w:rsidRPr="00000000">
        <w:rPr>
          <w:rFonts w:ascii="Times" w:cs="Times" w:eastAsia="Times" w:hAnsi="Times"/>
          <w:sz w:val="24"/>
          <w:szCs w:val="24"/>
          <w:rtl w:val="0"/>
        </w:rPr>
        <w:t xml:space="preserve"> (Weick, 1995). </w:t>
      </w:r>
    </w:p>
    <w:p w:rsidR="00000000" w:rsidDel="00000000" w:rsidP="00000000" w:rsidRDefault="00000000" w:rsidRPr="00000000" w14:paraId="0000000F">
      <w:pPr>
        <w:numPr>
          <w:ilvl w:val="0"/>
          <w:numId w:val="1"/>
        </w:numPr>
        <w:ind w:left="720" w:hanging="360"/>
        <w:rPr>
          <w:rFonts w:ascii="Times" w:cs="Times" w:eastAsia="Times" w:hAnsi="Times"/>
          <w:sz w:val="24"/>
          <w:szCs w:val="24"/>
          <w:u w:val="none"/>
        </w:rPr>
      </w:pPr>
      <w:r w:rsidDel="00000000" w:rsidR="00000000" w:rsidRPr="00000000">
        <w:rPr>
          <w:rFonts w:ascii="Times" w:cs="Times" w:eastAsia="Times" w:hAnsi="Times"/>
          <w:sz w:val="24"/>
          <w:szCs w:val="24"/>
          <w:rtl w:val="0"/>
        </w:rPr>
        <w:t xml:space="preserve">Conceptual foundation</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Similar to the s</w:t>
      </w:r>
      <w:r w:rsidDel="00000000" w:rsidR="00000000" w:rsidRPr="00000000">
        <w:rPr>
          <w:rFonts w:ascii="Times" w:cs="Times" w:eastAsia="Times" w:hAnsi="Times"/>
          <w:sz w:val="24"/>
          <w:szCs w:val="24"/>
          <w:rtl w:val="0"/>
        </w:rPr>
        <w:t xml:space="preserve">ensemaking process that allows people to understand ambiguous, equivocal or confusing issues or events (</w:t>
      </w:r>
      <w:r w:rsidDel="00000000" w:rsidR="00000000" w:rsidRPr="00000000">
        <w:rPr>
          <w:rFonts w:ascii="Times" w:cs="Times" w:eastAsia="Times" w:hAnsi="Times"/>
          <w:sz w:val="24"/>
          <w:szCs w:val="24"/>
          <w:rtl w:val="0"/>
        </w:rPr>
        <w:t xml:space="preserve">Maitlis &amp; Christianson, 2014), t</w:t>
      </w:r>
      <w:r w:rsidDel="00000000" w:rsidR="00000000" w:rsidRPr="00000000">
        <w:rPr>
          <w:rFonts w:ascii="Times" w:cs="Times" w:eastAsia="Times" w:hAnsi="Times"/>
          <w:sz w:val="24"/>
          <w:szCs w:val="24"/>
          <w:rtl w:val="0"/>
        </w:rPr>
        <w:t xml:space="preserve">he </w:t>
      </w:r>
      <w:r w:rsidDel="00000000" w:rsidR="00000000" w:rsidRPr="00000000">
        <w:rPr>
          <w:rFonts w:ascii="Times" w:cs="Times" w:eastAsia="Times" w:hAnsi="Times"/>
          <w:i w:val="1"/>
          <w:sz w:val="24"/>
          <w:szCs w:val="24"/>
          <w:rtl w:val="0"/>
        </w:rPr>
        <w:t xml:space="preserve">Elaboration Likelihood Model</w:t>
      </w:r>
      <w:r w:rsidDel="00000000" w:rsidR="00000000" w:rsidRPr="00000000">
        <w:rPr>
          <w:rFonts w:ascii="Times" w:cs="Times" w:eastAsia="Times" w:hAnsi="Times"/>
          <w:sz w:val="24"/>
          <w:szCs w:val="24"/>
          <w:rtl w:val="0"/>
        </w:rPr>
        <w:t xml:space="preserve"> (ELM) helps to provide a theoretical framework to understand the process by which individuals form their retrospective understanding. Another distinctive reason why this study applies ELM to support exploratory understanding of individual sensemaking is that both ELM can be divided into two paths: the central path, which is action driven and the peripheral path, which is belief driven. Similarly, sensemaking process has two originations: action and belief. Considering this, we want to explore and test if the EML conceptual framework can fit and explain properly individual’s sensemaking in B2B companies’ internationalisation.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Based on the ELM proposed by Petty and Cacioppo (1986), we believe that this psychological mechanism on meaning construction of how SMEs’ managers as individuals build the sensemaking process under crisis and its impact on companies’ internationalization process follows a dual processing path: one is the action-driven central path and the other is the belief-driven peripheral path. According to the early views of the scholars (</w:t>
      </w:r>
      <w:r w:rsidDel="00000000" w:rsidR="00000000" w:rsidRPr="00000000">
        <w:rPr>
          <w:rFonts w:ascii="Times" w:cs="Times" w:eastAsia="Times" w:hAnsi="Times"/>
          <w:sz w:val="24"/>
          <w:szCs w:val="24"/>
          <w:rtl w:val="0"/>
        </w:rPr>
        <w:t xml:space="preserve">Cacioppo et al, 1984; Petty and Cacioppo, </w:t>
      </w:r>
      <w:r w:rsidDel="00000000" w:rsidR="00000000" w:rsidRPr="00000000">
        <w:rPr>
          <w:rFonts w:ascii="Times" w:cs="Times" w:eastAsia="Times" w:hAnsi="Times"/>
          <w:sz w:val="24"/>
          <w:szCs w:val="24"/>
          <w:rtl w:val="0"/>
        </w:rPr>
        <w:t xml:space="preserve">1986), ELM uses the central path to explain the role of cognitive factors in attitude formation and alterations; the peripheral path is capable to explain the role of noncognitive factors in attitude formation and alterations. The triggering of the two paths in ELM depends on the degree of cognition’s involvement, which many studies have confirmed. For example, </w:t>
      </w:r>
      <w:hyperlink r:id="rId12">
        <w:r w:rsidDel="00000000" w:rsidR="00000000" w:rsidRPr="00000000">
          <w:rPr>
            <w:rFonts w:ascii="Times" w:cs="Times" w:eastAsia="Times" w:hAnsi="Times"/>
            <w:sz w:val="24"/>
            <w:szCs w:val="24"/>
            <w:rtl w:val="0"/>
          </w:rPr>
          <w:t xml:space="preserve">Bögel</w:t>
        </w:r>
      </w:hyperlink>
      <w:r w:rsidDel="00000000" w:rsidR="00000000" w:rsidRPr="00000000">
        <w:rPr>
          <w:rFonts w:ascii="Times" w:cs="Times" w:eastAsia="Times" w:hAnsi="Times"/>
          <w:sz w:val="24"/>
          <w:szCs w:val="24"/>
          <w:rtl w:val="0"/>
        </w:rPr>
        <w:t xml:space="preserve"> (2015) discussed </w:t>
      </w:r>
      <w:r w:rsidDel="00000000" w:rsidR="00000000" w:rsidRPr="00000000">
        <w:rPr>
          <w:rFonts w:ascii="Times" w:cs="Times" w:eastAsia="Times" w:hAnsi="Times"/>
          <w:sz w:val="24"/>
          <w:szCs w:val="24"/>
          <w:rtl w:val="0"/>
        </w:rPr>
        <w:t xml:space="preserve">stakeholders with high or low corporate social responsibility involvement could influence companies to adapt their CSR communication to either a central route or a peripheral route of processing. The relative study focuses on argument quality as a central cue to primarily affect credibility whereas the peripheral cues such as source credibility and comment consistency evaluate reviews (</w:t>
      </w:r>
      <w:r w:rsidDel="00000000" w:rsidR="00000000" w:rsidRPr="00000000">
        <w:rPr>
          <w:rFonts w:ascii="Times" w:cs="Times" w:eastAsia="Times" w:hAnsi="Times"/>
          <w:sz w:val="24"/>
          <w:szCs w:val="24"/>
          <w:rtl w:val="0"/>
        </w:rPr>
        <w:t xml:space="preserve">Cheung et al, 2012). Although the EL theoretical model has been widely confirmed in consumer performance and behavioural psychology, especially online virtual interaction behaviour, so far, there is still a blank in the interpretation of the sensemaking construction perspective of internationalising B2B companies from the perspective of the EL model. </w:t>
      </w:r>
      <w:r w:rsidDel="00000000" w:rsidR="00000000" w:rsidRPr="00000000">
        <w:rPr>
          <w:rFonts w:ascii="Times" w:cs="Times" w:eastAsia="Times" w:hAnsi="Times"/>
          <w:sz w:val="24"/>
          <w:szCs w:val="24"/>
          <w:rtl w:val="0"/>
        </w:rPr>
        <w:t xml:space="preserve">This chapter takes decision-makers in internationalizing B2B companies as the centre of communication flow from management to employees and integrates the ELM with the operational process approach. </w:t>
      </w:r>
    </w:p>
    <w:p w:rsidR="00000000" w:rsidDel="00000000" w:rsidP="00000000" w:rsidRDefault="00000000" w:rsidRPr="00000000" w14:paraId="00000012">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Methodology</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The present research develops a theory-building process based on a </w:t>
      </w:r>
      <w:r w:rsidDel="00000000" w:rsidR="00000000" w:rsidRPr="00000000">
        <w:rPr>
          <w:rFonts w:ascii="Times" w:cs="Times" w:eastAsia="Times" w:hAnsi="Times"/>
          <w:sz w:val="24"/>
          <w:szCs w:val="24"/>
          <w:rtl w:val="0"/>
        </w:rPr>
        <w:t xml:space="preserve">multiple-case study </w:t>
      </w:r>
      <w:r w:rsidDel="00000000" w:rsidR="00000000" w:rsidRPr="00000000">
        <w:rPr>
          <w:rFonts w:ascii="Times" w:cs="Times" w:eastAsia="Times" w:hAnsi="Times"/>
          <w:sz w:val="24"/>
          <w:szCs w:val="24"/>
          <w:rtl w:val="0"/>
        </w:rPr>
        <w:t xml:space="preserve">perspective study research design (Eisenhardt, 1989; Eisenhardt and Graebner, 2007; Yin, 2014). This is a valid method for exploratory inquiries (Yin, 2014), as our aim is to gain an in-depth understanding and holistic empirical insights about </w:t>
      </w:r>
      <w:r w:rsidDel="00000000" w:rsidR="00000000" w:rsidRPr="00000000">
        <w:rPr>
          <w:rFonts w:ascii="Times" w:cs="Times" w:eastAsia="Times" w:hAnsi="Times"/>
          <w:sz w:val="24"/>
          <w:szCs w:val="24"/>
          <w:rtl w:val="0"/>
        </w:rPr>
        <w:t xml:space="preserve">how managers of SMEs as individuals build the sensemaking process under crisis and its impact on companies’ internationalisation process.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3.1 Sample selection and data collection</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For the sample selection, we apply a p</w:t>
      </w:r>
      <w:r w:rsidDel="00000000" w:rsidR="00000000" w:rsidRPr="00000000">
        <w:rPr>
          <w:rFonts w:ascii="Times" w:cs="Times" w:eastAsia="Times" w:hAnsi="Times"/>
          <w:sz w:val="24"/>
          <w:szCs w:val="24"/>
          <w:rtl w:val="0"/>
        </w:rPr>
        <w:t xml:space="preserve">urposeful sampling method which is widely used in qualitative research for the identification and selection of information-rich cases related to the phenomenon of interest (</w:t>
      </w:r>
      <w:r w:rsidDel="00000000" w:rsidR="00000000" w:rsidRPr="00000000">
        <w:rPr>
          <w:rFonts w:ascii="Times" w:cs="Times" w:eastAsia="Times" w:hAnsi="Times"/>
          <w:sz w:val="24"/>
          <w:szCs w:val="24"/>
          <w:rtl w:val="0"/>
        </w:rPr>
        <w:t xml:space="preserve">Palinkas et al., 2015). We identified and selected individuals and groups of individuals that are especially knowledgeable and experienced with the sensemaking process in internationalising B2B companies. </w:t>
      </w:r>
      <w:r w:rsidDel="00000000" w:rsidR="00000000" w:rsidRPr="00000000">
        <w:rPr>
          <w:rFonts w:ascii="Times" w:cs="Times" w:eastAsia="Times" w:hAnsi="Times"/>
          <w:sz w:val="24"/>
          <w:szCs w:val="24"/>
          <w:rtl w:val="0"/>
        </w:rPr>
        <w:t xml:space="preserve">In doing so, w</w:t>
      </w:r>
      <w:r w:rsidDel="00000000" w:rsidR="00000000" w:rsidRPr="00000000">
        <w:rPr>
          <w:rFonts w:ascii="Times" w:cs="Times" w:eastAsia="Times" w:hAnsi="Times"/>
          <w:sz w:val="24"/>
          <w:szCs w:val="24"/>
          <w:rtl w:val="0"/>
        </w:rPr>
        <w:t xml:space="preserve">e use a multi-actor perspective conducting both focus groups and single-person interviews. The focus group interviews in which 28 managers are associated. The first focus group is composed of managers and officials from chambers of commerce across Italy; the second focus group is made up of companies involved in the internationalization process; the third focus group is a mixed group with both managers from the chamber of commerce and representative companies. We also conducted 47 semi-structured interviews with entrepreneurs, CEOs, and managers engaged in the internationalization process in different B2B industries. Notably, we selected the managers, business leaders and marking experts who have witnessed and actively participated in the whole crisis period caused by the COVID-19 epidemic and its relevant consequence, which has profound influences on their sensemaking process while internationalising.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To gain a more comprehensive understanding of the growth and development patterns within different industries, we collaborated with firms of varying types. Our aim was to differentiate our analysis by involving companies in different industries such as food services, machinery manufacturing, pharmaceutical and medical devices, apparel and fashion, and electronic equipment. We chose to focus on the Italian context, as Italy was one of the first European countries to implement a total lockdown in response to the pandemic (</w:t>
      </w:r>
      <w:r w:rsidDel="00000000" w:rsidR="00000000" w:rsidRPr="00000000">
        <w:rPr>
          <w:rFonts w:ascii="Times" w:cs="Times" w:eastAsia="Times" w:hAnsi="Times"/>
          <w:sz w:val="24"/>
          <w:szCs w:val="24"/>
          <w:rtl w:val="0"/>
        </w:rPr>
        <w:t xml:space="preserve">Pepe et al., 2020)</w:t>
      </w:r>
      <w:r w:rsidDel="00000000" w:rsidR="00000000" w:rsidRPr="00000000">
        <w:rPr>
          <w:rFonts w:ascii="Times" w:cs="Times" w:eastAsia="Times" w:hAnsi="Times"/>
          <w:sz w:val="24"/>
          <w:szCs w:val="24"/>
          <w:rtl w:val="0"/>
        </w:rPr>
        <w:t xml:space="preserve">. Comparing SMEs with big firms, these smaller businesses often demonstrate greater flexibility during uncertain times, such as economic downturns (Bartz and Winkler, 2016) and business adoptions (</w:t>
      </w:r>
      <w:r w:rsidDel="00000000" w:rsidR="00000000" w:rsidRPr="00000000">
        <w:rPr>
          <w:rFonts w:ascii="Times" w:cs="Times" w:eastAsia="Times" w:hAnsi="Times"/>
          <w:sz w:val="24"/>
          <w:szCs w:val="24"/>
          <w:rtl w:val="0"/>
        </w:rPr>
        <w:t xml:space="preserve">Antoniadis et al., 2015)</w:t>
      </w:r>
      <w:r w:rsidDel="00000000" w:rsidR="00000000" w:rsidRPr="00000000">
        <w:rPr>
          <w:rFonts w:ascii="Times" w:cs="Times" w:eastAsia="Times" w:hAnsi="Times"/>
          <w:sz w:val="24"/>
          <w:szCs w:val="24"/>
          <w:rtl w:val="0"/>
        </w:rPr>
        <w:t xml:space="preserve">. By including companies from different industries and types, we sought to gain a more nuanced understanding of growth and development patterns in our chosen context. This approach allowed us to analyze how various factors, such as company size and sector, may influence business strategies and outcomes. Small businesses, for instance, may be more agile in their decision-making processes, allowing them to quickly adapt to changes in the business landscape. In contrast, medium-sized firms may face more challenges in pivoting their operations due to their size and organizational complexity. In all, we hope to provide valuable insights for businesses as they navigate an increasingly complex and rapidly evolving global marketplace.</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The interview protocol was designed to investigate how individuals in B2B firms make sense during the pandemic crisis while internationalising. Specifically, we focused on two key indicators: whether their sensemaking process was driven by action or belief, which are two </w:t>
      </w:r>
      <w:r w:rsidDel="00000000" w:rsidR="00000000" w:rsidRPr="00000000">
        <w:rPr>
          <w:rFonts w:ascii="Times" w:cs="Times" w:eastAsia="Times" w:hAnsi="Times"/>
          <w:sz w:val="24"/>
          <w:szCs w:val="24"/>
          <w:rtl w:val="0"/>
        </w:rPr>
        <w:t xml:space="preserve">crucial indicators outlined by the sensemaking as well as ELM literature. </w:t>
      </w:r>
      <w:r w:rsidDel="00000000" w:rsidR="00000000" w:rsidRPr="00000000">
        <w:rPr>
          <w:rFonts w:ascii="Times" w:cs="Times" w:eastAsia="Times" w:hAnsi="Times"/>
          <w:sz w:val="24"/>
          <w:szCs w:val="24"/>
          <w:rtl w:val="0"/>
        </w:rPr>
        <w:t xml:space="preserve">To collect our data, we used a key indicator-driven approach (Qu &amp; Furnas, 2008), which allowed us to understand the role of cognition in the sensemaking process during internationalization.</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During the interviews, we asked questions such as, “In which geographic market is your company present?”, “What is the main challenge your company is currently facing?”, “</w:t>
      </w:r>
      <w:r w:rsidDel="00000000" w:rsidR="00000000" w:rsidRPr="00000000">
        <w:rPr>
          <w:rFonts w:ascii="Times" w:cs="Times" w:eastAsia="Times" w:hAnsi="Times"/>
          <w:sz w:val="24"/>
          <w:szCs w:val="24"/>
          <w:rtl w:val="0"/>
        </w:rPr>
        <w:t xml:space="preserve">What is the main approach you follow to internationalise your company</w:t>
      </w:r>
      <w:r w:rsidDel="00000000" w:rsidR="00000000" w:rsidRPr="00000000">
        <w:rPr>
          <w:rFonts w:ascii="Times" w:cs="Times" w:eastAsia="Times" w:hAnsi="Times"/>
          <w:sz w:val="24"/>
          <w:szCs w:val="24"/>
          <w:rtl w:val="0"/>
        </w:rPr>
        <w:t xml:space="preserve">?”, and “Can you describe your sensemaking process during the aforementioned procedure?”. We pilot-tested the interview protocol with a B2B sector manager and refined it iteratively during data collection. All interviews were transcribed and coded (Bazeley and Jackson, 2013). We stopped the data collection procedure when we reached theoretical saturation (Strauss and Corbin, 1998), where additional data were unlikely to change our interpretation.</w:t>
      </w:r>
      <w:r w:rsidDel="00000000" w:rsidR="00000000" w:rsidRPr="00000000">
        <w:rPr>
          <w:rtl w:val="0"/>
        </w:rPr>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3.2 Data analysis</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Our data analysis utilized both inductive and deductive approaches as a continuum. To begin, we drew upon existing literature on sensemaking and B2B companies’ internationalisation to conduct an initial interpretation and analysis of the qualitative data, which belongs to the deductive approach. Next, we identified patterns and derived new theoretical concepts from the data that follows an inductive approach (Kennedy and Thornberg, 2018) in order to let the dimensions emerge from the original data.</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Our analysis began by examining each of the 50 cases through a within-case analysis, progressing from the specific to the general, as recommended by Saldaña (2016). During the first stage of coding, we conducted a deep exploration of the unique features of each case through within-case analysis, in line with Eisenhardt's approach (1989) and Eisenhardt and Graebner's (2007) studies. This involved identifying descriptive and interpretive codes that related to the actions and beliefs adopted by firms in response to the crisis. We examined the sensemaking construction process and its impact on the business performance and internationalization of these firms. At the end of this coding stage, we generated a list of first-order concepts based on both "in vivo" and constructed codes as reflected in the cases, as recommended by Miles and Huberman (1984).</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In the second coding round, our focus shifted towards identifying cohesive patterns and meanings across cases (cross-case analysis) (Boyatzis, 1998; Eisenhardt's, 1989) approach. We sought to determine whether the first-order concepts were action-driven or belief-driven. This helped us to identify key second-order themes and achieve a higher level of abstraction in the data.</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Ultimately, we identified four components in the central path of individual sensemaking, which could be classified as action-driven: networking conceptualization, crisis readiness, confirmation pros-revising and value consistency; along with three components in the peripheral path, which were classified as belief-driven: communication effectiveness, perceived credibility and joint enthusiasm.</w:t>
      </w:r>
      <w:r w:rsidDel="00000000" w:rsidR="00000000" w:rsidRPr="00000000">
        <w:rPr>
          <w:rtl w:val="0"/>
        </w:rPr>
      </w:r>
    </w:p>
    <w:p w:rsidR="00000000" w:rsidDel="00000000" w:rsidP="00000000" w:rsidRDefault="00000000" w:rsidRPr="00000000" w14:paraId="0000001E">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w:cs="Times" w:eastAsia="Times" w:hAnsi="Times"/>
          <w:sz w:val="24"/>
          <w:szCs w:val="24"/>
          <w:u w:val="none"/>
        </w:rPr>
      </w:pPr>
      <w:r w:rsidDel="00000000" w:rsidR="00000000" w:rsidRPr="00000000">
        <w:rPr>
          <w:rFonts w:ascii="Times" w:cs="Times" w:eastAsia="Times" w:hAnsi="Times"/>
          <w:sz w:val="24"/>
          <w:szCs w:val="24"/>
          <w:rtl w:val="0"/>
        </w:rPr>
        <w:t xml:space="preserve">Finding</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      </w:t>
      </w:r>
      <w:r w:rsidDel="00000000" w:rsidR="00000000" w:rsidRPr="00000000">
        <w:rPr>
          <w:rFonts w:ascii="Times" w:cs="Times" w:eastAsia="Times" w:hAnsi="Times"/>
          <w:sz w:val="24"/>
          <w:szCs w:val="24"/>
          <w:rtl w:val="0"/>
        </w:rPr>
        <w:t xml:space="preserve">The study develops B2B internationalising companies’ sensemaking framework through both an action-driven central path and a belief-driven peripheral path and illustrates how this sensemaking framework empowers B2B firms to cope with a crisis. Sensemaking as a construction model takes different paths to influence organisational behaviour and B2B internationalizing companies. In this study, 4 components in the action-driven central path and 3 components in the belief-driven peripheral path have emerged as shown in Figure 1.</w:t>
      </w:r>
    </w:p>
    <w:p w:rsidR="00000000" w:rsidDel="00000000" w:rsidP="00000000" w:rsidRDefault="00000000" w:rsidRPr="00000000" w14:paraId="00000020">
      <w:pPr>
        <w:ind w:left="420" w:firstLine="0"/>
        <w:jc w:val="left"/>
        <w:rPr>
          <w:rFonts w:ascii="Times" w:cs="Times" w:eastAsia="Times" w:hAnsi="Times"/>
          <w:sz w:val="24"/>
          <w:szCs w:val="24"/>
        </w:rPr>
      </w:pPr>
      <w:r w:rsidDel="00000000" w:rsidR="00000000" w:rsidRPr="00000000">
        <w:rPr>
          <w:rFonts w:ascii="Times" w:cs="Times" w:eastAsia="Times" w:hAnsi="Times"/>
          <w:sz w:val="18"/>
          <w:szCs w:val="18"/>
          <w:rtl w:val="0"/>
        </w:rPr>
        <w:t xml:space="preserve">Figure 1</w:t>
      </w:r>
      <w:r w:rsidDel="00000000" w:rsidR="00000000" w:rsidRPr="00000000">
        <w:rPr>
          <w:rFonts w:ascii="Times" w:cs="Times" w:eastAsia="Times" w:hAnsi="Times"/>
          <w:sz w:val="24"/>
          <w:szCs w:val="24"/>
          <w:rtl w:val="0"/>
        </w:rPr>
        <w:t xml:space="preserve">:</w:t>
      </w:r>
    </w:p>
    <w:p w:rsidR="00000000" w:rsidDel="00000000" w:rsidP="00000000" w:rsidRDefault="00000000" w:rsidRPr="00000000" w14:paraId="00000021">
      <w:pPr>
        <w:ind w:left="420" w:firstLine="0"/>
        <w:jc w:val="left"/>
        <w:rPr>
          <w:rFonts w:ascii="Times" w:cs="Times" w:eastAsia="Times" w:hAnsi="Times"/>
          <w:sz w:val="24"/>
          <w:szCs w:val="24"/>
        </w:rPr>
      </w:pPr>
      <w:r w:rsidDel="00000000" w:rsidR="00000000" w:rsidRPr="00000000">
        <w:rPr>
          <w:rFonts w:ascii="Times" w:cs="Times" w:eastAsia="Times" w:hAnsi="Times"/>
          <w:sz w:val="24"/>
          <w:szCs w:val="24"/>
        </w:rPr>
        <w:drawing>
          <wp:inline distB="114300" distT="114300" distL="114300" distR="114300">
            <wp:extent cx="5567363" cy="2266360"/>
            <wp:effectExtent b="0" l="0" r="0" t="0"/>
            <wp:docPr id="3" name="image2.jpg"/>
            <a:graphic>
              <a:graphicData uri="http://schemas.openxmlformats.org/drawingml/2006/picture">
                <pic:pic>
                  <pic:nvPicPr>
                    <pic:cNvPr id="0" name="image2.jpg"/>
                    <pic:cNvPicPr preferRelativeResize="0"/>
                  </pic:nvPicPr>
                  <pic:blipFill>
                    <a:blip r:embed="rId13"/>
                    <a:srcRect b="25320" l="10288" r="9927" t="16987"/>
                    <a:stretch>
                      <a:fillRect/>
                    </a:stretch>
                  </pic:blipFill>
                  <pic:spPr>
                    <a:xfrm>
                      <a:off x="0" y="0"/>
                      <a:ext cx="5567363" cy="2266360"/>
                    </a:xfrm>
                    <a:prstGeom prst="rect"/>
                    <a:ln/>
                  </pic:spPr>
                </pic:pic>
              </a:graphicData>
            </a:graphic>
          </wp:inline>
        </w:drawing>
      </w:r>
      <w:r w:rsidDel="00000000" w:rsidR="00000000" w:rsidRPr="00000000">
        <w:rPr>
          <w:rtl w:val="0"/>
        </w:rPr>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4.1. Action-driven central path</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In action-driven central path, sensemaking processes that originate in </w:t>
      </w:r>
      <w:r w:rsidDel="00000000" w:rsidR="00000000" w:rsidRPr="00000000">
        <w:rPr>
          <w:rFonts w:ascii="Times" w:cs="Times" w:eastAsia="Times" w:hAnsi="Times"/>
          <w:sz w:val="24"/>
          <w:szCs w:val="24"/>
          <w:rtl w:val="0"/>
        </w:rPr>
        <w:t xml:space="preserve">action</w:t>
      </w:r>
      <w:r w:rsidDel="00000000" w:rsidR="00000000" w:rsidRPr="00000000">
        <w:rPr>
          <w:rFonts w:ascii="Times" w:cs="Times" w:eastAsia="Times" w:hAnsi="Times"/>
          <w:sz w:val="24"/>
          <w:szCs w:val="24"/>
          <w:rtl w:val="0"/>
        </w:rPr>
        <w:t xml:space="preserve"> involve </w:t>
      </w:r>
      <w:r w:rsidDel="00000000" w:rsidR="00000000" w:rsidRPr="00000000">
        <w:rPr>
          <w:rFonts w:ascii="Times" w:cs="Times" w:eastAsia="Times" w:hAnsi="Times"/>
          <w:i w:val="1"/>
          <w:sz w:val="24"/>
          <w:szCs w:val="24"/>
          <w:rtl w:val="0"/>
        </w:rPr>
        <w:t xml:space="preserve">committing</w:t>
      </w:r>
      <w:r w:rsidDel="00000000" w:rsidR="00000000" w:rsidRPr="00000000">
        <w:rPr>
          <w:rFonts w:ascii="Times" w:cs="Times" w:eastAsia="Times" w:hAnsi="Times"/>
          <w:sz w:val="24"/>
          <w:szCs w:val="24"/>
          <w:rtl w:val="0"/>
        </w:rPr>
        <w:t xml:space="preserve"> and </w:t>
      </w:r>
      <w:r w:rsidDel="00000000" w:rsidR="00000000" w:rsidRPr="00000000">
        <w:rPr>
          <w:rFonts w:ascii="Times" w:cs="Times" w:eastAsia="Times" w:hAnsi="Times"/>
          <w:i w:val="1"/>
          <w:sz w:val="24"/>
          <w:szCs w:val="24"/>
          <w:rtl w:val="0"/>
        </w:rPr>
        <w:t xml:space="preserve">manipulating</w:t>
      </w:r>
      <w:r w:rsidDel="00000000" w:rsidR="00000000" w:rsidRPr="00000000">
        <w:rPr>
          <w:rFonts w:ascii="Times" w:cs="Times" w:eastAsia="Times" w:hAnsi="Times"/>
          <w:sz w:val="24"/>
          <w:szCs w:val="24"/>
          <w:rtl w:val="0"/>
        </w:rPr>
        <w:t xml:space="preserve"> (Weick, 1995). </w:t>
      </w:r>
      <w:r w:rsidDel="00000000" w:rsidR="00000000" w:rsidRPr="00000000">
        <w:rPr>
          <w:rFonts w:ascii="Times" w:cs="Times" w:eastAsia="Times" w:hAnsi="Times"/>
          <w:i w:val="1"/>
          <w:sz w:val="24"/>
          <w:szCs w:val="24"/>
          <w:rtl w:val="0"/>
        </w:rPr>
        <w:t xml:space="preserve">Committing</w:t>
      </w:r>
      <w:r w:rsidDel="00000000" w:rsidR="00000000" w:rsidRPr="00000000">
        <w:rPr>
          <w:rFonts w:ascii="Times" w:cs="Times" w:eastAsia="Times" w:hAnsi="Times"/>
          <w:sz w:val="24"/>
          <w:szCs w:val="24"/>
          <w:rtl w:val="0"/>
        </w:rPr>
        <w:t xml:space="preserve"> involves taking action based on existing beliefs and assumptions, allowing for learning and adaptation through experience. </w:t>
      </w:r>
      <w:r w:rsidDel="00000000" w:rsidR="00000000" w:rsidRPr="00000000">
        <w:rPr>
          <w:rFonts w:ascii="Times" w:cs="Times" w:eastAsia="Times" w:hAnsi="Times"/>
          <w:i w:val="1"/>
          <w:sz w:val="24"/>
          <w:szCs w:val="24"/>
          <w:rtl w:val="0"/>
        </w:rPr>
        <w:t xml:space="preserve">Manipulating</w:t>
      </w:r>
      <w:r w:rsidDel="00000000" w:rsidR="00000000" w:rsidRPr="00000000">
        <w:rPr>
          <w:rFonts w:ascii="Times" w:cs="Times" w:eastAsia="Times" w:hAnsi="Times"/>
          <w:sz w:val="24"/>
          <w:szCs w:val="24"/>
          <w:rtl w:val="0"/>
        </w:rPr>
        <w:t xml:space="preserve"> involves shaping the environment to align with the company's goals and values, creating opportunities and mitigating risks. Both methods can help create coherence and purpose, but must be used responsibly and ethically. Stakeholders and the broader social and environmental context should be taken into account.</w:t>
      </w:r>
      <w:r w:rsidDel="00000000" w:rsidR="00000000" w:rsidRPr="00000000">
        <w:rPr>
          <w:rtl w:val="0"/>
        </w:rPr>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4.1.1. Network conceptualization</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Network conceptualization refers to the process of identifying and analyzing the relationships and interactions between various entities, within a given system or network. It works in international companies' sensemaking by providing a framework for understanding the complex networks of relationships and interactions that exist within a particular market or industry. This involves identifying the key actors, their roles, and the nature of their relationships, and analyzing how they interact and influence each other.</w:t>
      </w:r>
    </w:p>
    <w:p w:rsidR="00000000" w:rsidDel="00000000" w:rsidP="00000000" w:rsidRDefault="00000000" w:rsidRPr="00000000" w14:paraId="00000026">
      <w:pPr>
        <w:spacing w:after="200" w:before="200" w:line="240" w:lineRule="auto"/>
        <w:ind w:left="720" w:firstLine="0"/>
        <w:rPr>
          <w:rFonts w:ascii="Times New Roman" w:cs="Times New Roman" w:eastAsia="Times New Roman" w:hAnsi="Times New Roman"/>
          <w:color w:val="222222"/>
          <w:sz w:val="20"/>
          <w:szCs w:val="20"/>
          <w:highlight w:val="white"/>
        </w:rPr>
      </w:pPr>
      <w:r w:rsidDel="00000000" w:rsidR="00000000" w:rsidRPr="00000000">
        <w:rPr>
          <w:rFonts w:ascii="Times New Roman" w:cs="Times New Roman" w:eastAsia="Times New Roman" w:hAnsi="Times New Roman"/>
          <w:color w:val="222222"/>
          <w:sz w:val="20"/>
          <w:szCs w:val="20"/>
          <w:highlight w:val="white"/>
          <w:rtl w:val="0"/>
        </w:rPr>
        <w:t xml:space="preserve">With 10 other companies, we have created a network of companies that was born a year ago during COVID-19, which deals with various things and where we try to cooperate on several levels, events, activities in the area and activities concerning internationalization. By </w:t>
      </w:r>
      <w:r w:rsidDel="00000000" w:rsidR="00000000" w:rsidRPr="00000000">
        <w:rPr>
          <w:rFonts w:ascii="Times New Roman" w:cs="Times New Roman" w:eastAsia="Times New Roman" w:hAnsi="Times New Roman"/>
          <w:b w:val="1"/>
          <w:color w:val="222222"/>
          <w:sz w:val="20"/>
          <w:szCs w:val="20"/>
          <w:highlight w:val="white"/>
          <w:rtl w:val="0"/>
        </w:rPr>
        <w:t xml:space="preserve">working together</w:t>
      </w:r>
      <w:r w:rsidDel="00000000" w:rsidR="00000000" w:rsidRPr="00000000">
        <w:rPr>
          <w:rFonts w:ascii="Times New Roman" w:cs="Times New Roman" w:eastAsia="Times New Roman" w:hAnsi="Times New Roman"/>
          <w:color w:val="222222"/>
          <w:sz w:val="20"/>
          <w:szCs w:val="20"/>
          <w:highlight w:val="white"/>
          <w:rtl w:val="0"/>
        </w:rPr>
        <w:t xml:space="preserve">, costs can be cut. Then we try to exploit the most common channels, during a fair or through personal contacts. We are examining various avenues trying to understand the most correct way to expand, also taking into account the costs. (Texture, Export manager)</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In the context of internationalization in the abovementioned case, companies may seek to identify potential cooperation partners who can serve as key actors in building their network. Conceptualizing this network requires a concerted effort to develop operable behaviours that make sense in light of the current COVID-19 context. One of their approaches is to leverage common channels, such as participating in international fairs or relying on personal contacts. To achieve successful internationalization, companies must establish a network of contacts and relationships within their target markets. This requires identifying potential cooperation partners who can serve as key actors in building their network. These key actors may include suppliers, distributors, customers, or other relevant stakeholders.</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Participating in international fairs, in the case, can be an effective way to establish connections and build relationships with potential cooperation partners. In the context of COVID-19, companies may need to adapt their approach to account for virtual or hybrid formats, as well as the need for social distancing and other safety measures; personal contacts can also be a valuable resource for building a network, as they provide a trusted and established connection between companies. Companies may need to rely on their existing contacts or develop new ones through targeted outreach efforts, such as email campaigns, social media engagement, or virtual networking events. Overall, building a network of cooperation partners is essential for successful internationalization. Conceptualizing this network and developing operable behaviours that are appropriate for the current COVID-19 context requires a strategic approach that leverages common channels and establishes trusted relationships with key actors.</w:t>
      </w:r>
      <w:r w:rsidDel="00000000" w:rsidR="00000000" w:rsidRPr="00000000">
        <w:rPr>
          <w:rtl w:val="0"/>
        </w:rPr>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At the same time, international companies can use network conceptualization to better understand the </w:t>
      </w:r>
      <w:r w:rsidDel="00000000" w:rsidR="00000000" w:rsidRPr="00000000">
        <w:rPr>
          <w:rFonts w:ascii="Times" w:cs="Times" w:eastAsia="Times" w:hAnsi="Times"/>
          <w:b w:val="1"/>
          <w:sz w:val="24"/>
          <w:szCs w:val="24"/>
          <w:rtl w:val="0"/>
        </w:rPr>
        <w:t xml:space="preserve">social and cultural dynamics</w:t>
      </w:r>
      <w:r w:rsidDel="00000000" w:rsidR="00000000" w:rsidRPr="00000000">
        <w:rPr>
          <w:rFonts w:ascii="Times" w:cs="Times" w:eastAsia="Times" w:hAnsi="Times"/>
          <w:sz w:val="24"/>
          <w:szCs w:val="24"/>
          <w:rtl w:val="0"/>
        </w:rPr>
        <w:t xml:space="preserve"> that shape consumer behaviour and sensemaking in different markets. This can help them to tailor their marketing strategies and messages to better resonate with local audiences and to identify opportunities for innovation and growth.</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200" w:before="200" w:line="240" w:lineRule="auto"/>
        <w:ind w:left="720" w:right="0" w:firstLine="0"/>
        <w:jc w:val="both"/>
        <w:rPr>
          <w:rFonts w:ascii="Times New Roman" w:cs="Times New Roman" w:eastAsia="Times New Roman" w:hAnsi="Times New Roman"/>
          <w:color w:val="222222"/>
          <w:sz w:val="20"/>
          <w:szCs w:val="20"/>
          <w:highlight w:val="white"/>
        </w:rPr>
      </w:pPr>
      <w:r w:rsidDel="00000000" w:rsidR="00000000" w:rsidRPr="00000000">
        <w:rPr>
          <w:rFonts w:ascii="Times New Roman" w:cs="Times New Roman" w:eastAsia="Times New Roman" w:hAnsi="Times New Roman"/>
          <w:color w:val="222222"/>
          <w:sz w:val="20"/>
          <w:szCs w:val="20"/>
          <w:highlight w:val="white"/>
          <w:rtl w:val="0"/>
        </w:rPr>
        <w:t xml:space="preserve">The brand is present through local distributors. They are quite free to adjust the marketing communication since the distributors we cooperate with know local markets very well and can easily and swiftly catch social dynamics and consuming trends. (Food &amp; beverage, Marketing manager)</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In this case, the food &amp; beverage company collaborate with local distributors to approach foreign markets. Choosing suitable stakeholders in business networks needs social network analysis. By conducting the social network analysis, international companies can identify key influencers and opinion leaders within a market, and develop targeted marketing strategies and messages that are more likely to be accepted and adopted by the wider network. They can also use social network analysis to identify gaps and opportunities in the market and to develop new products or services that are better tailored to the needs and preferences of local consumers to conclude their sensemaking process.</w:t>
      </w:r>
      <w:r w:rsidDel="00000000" w:rsidR="00000000" w:rsidRPr="00000000">
        <w:rPr>
          <w:rtl w:val="0"/>
        </w:rPr>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4.1.2. Risk readiness</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After COVID-19, B2B companies often take uncertainty as a normality rather than a one-time "black swan" event, especially when internationalising. Expanding into new markets can bring a range of challenges, from cultural differences and language barriers to regulatory compliance and supply chain issues. B2B companies that have experience in internationalizing understand that these uncertainties are a part of doing business and they need to be prepared for them. Therefore, they develop strategies to mitigate these risks and build resilience in their operations. </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New Roman" w:cs="Times New Roman" w:eastAsia="Times New Roman" w:hAnsi="Times New Roman"/>
          <w:color w:val="222222"/>
          <w:sz w:val="20"/>
          <w:szCs w:val="20"/>
          <w:highlight w:val="white"/>
        </w:rPr>
      </w:pPr>
      <w:r w:rsidDel="00000000" w:rsidR="00000000" w:rsidRPr="00000000">
        <w:rPr>
          <w:rFonts w:ascii="Times" w:cs="Times" w:eastAsia="Times" w:hAnsi="Times"/>
          <w:sz w:val="24"/>
          <w:szCs w:val="24"/>
          <w:rtl w:val="0"/>
        </w:rPr>
        <w:t xml:space="preserve">To stay informed is to be updated with the latest news and developments in the industry and the countries the company operate in. It involves following relevant information resources such as local social media accounts, subscribing to newsletters, and participating in industry forums to stay ahead of potential risks. Then monitoring and evaluating situations to review the risk management plan regularly to ensure it remains up-to-date and relevant. </w:t>
      </w:r>
      <w:r w:rsidDel="00000000" w:rsidR="00000000" w:rsidRPr="00000000">
        <w:rPr>
          <w:rtl w:val="0"/>
        </w:rPr>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200" w:before="200" w:line="240" w:lineRule="auto"/>
        <w:ind w:left="720" w:right="0" w:firstLine="0"/>
        <w:jc w:val="both"/>
        <w:rPr>
          <w:rFonts w:ascii="Times New Roman" w:cs="Times New Roman" w:eastAsia="Times New Roman" w:hAnsi="Times New Roman"/>
          <w:color w:val="222222"/>
          <w:sz w:val="20"/>
          <w:szCs w:val="20"/>
          <w:highlight w:val="white"/>
        </w:rPr>
      </w:pPr>
      <w:r w:rsidDel="00000000" w:rsidR="00000000" w:rsidRPr="00000000">
        <w:rPr>
          <w:rFonts w:ascii="Times New Roman" w:cs="Times New Roman" w:eastAsia="Times New Roman" w:hAnsi="Times New Roman"/>
          <w:color w:val="222222"/>
          <w:sz w:val="20"/>
          <w:szCs w:val="20"/>
          <w:highlight w:val="white"/>
          <w:rtl w:val="0"/>
        </w:rPr>
        <w:t xml:space="preserve">Our companies’ current main approach to entering a foreign market is to collaborate with Chambers of Commerce. I have participated in various webinars conducted by the Chamber of Commerce of Milan, and therefore I have informed myself on the issue of internationalization. (Machinery manufacturing, CEO)</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The CEO of the machinery manufacturing company stated that </w:t>
      </w:r>
      <w:r w:rsidDel="00000000" w:rsidR="00000000" w:rsidRPr="00000000">
        <w:rPr>
          <w:rFonts w:ascii="Times" w:cs="Times" w:eastAsia="Times" w:hAnsi="Times"/>
          <w:sz w:val="24"/>
          <w:szCs w:val="24"/>
          <w:rtl w:val="0"/>
        </w:rPr>
        <w:t xml:space="preserve">Chambers of Commerce play a crucial role in supporting B2B companies' internationalization efforts. They are organizations that provide a range of services to businesses, including trade promotion, advocacy, networking opportunities, and market intelligence. When internationalising, Chambers of Commerce can provide B2B companies with information about the target market, including consumer behaviour, market trends, and regulatory requirements. </w:t>
      </w:r>
      <w:r w:rsidDel="00000000" w:rsidR="00000000" w:rsidRPr="00000000">
        <w:rPr>
          <w:rFonts w:ascii="Times" w:cs="Times" w:eastAsia="Times" w:hAnsi="Times"/>
          <w:sz w:val="24"/>
          <w:szCs w:val="24"/>
          <w:rtl w:val="0"/>
        </w:rPr>
        <w:t xml:space="preserve">A chamber of commerce is a non-profit organization with some unique institutional characteristics compared to for-profit organizations such as enterprises and companies. The goal and purpose of a chamber of commerce are to promote local business and economic development, and provide business support and services to members instead of earning profits and achieving economic growth. The ownership of a chamber of commerce belongs to its members, who govern the chamber of commerce by electing a president and management committee. Therefore, it has the obligation to support members and promote local business and economic development and also has the responsibility to serve the public interest. As a non-profit institution,</w:t>
      </w:r>
      <w:r w:rsidDel="00000000" w:rsidR="00000000" w:rsidRPr="00000000">
        <w:rPr>
          <w:rFonts w:ascii="Times" w:cs="Times" w:eastAsia="Times" w:hAnsi="Times"/>
          <w:sz w:val="24"/>
          <w:szCs w:val="24"/>
          <w:rtl w:val="0"/>
        </w:rPr>
        <w:t xml:space="preserve"> Chambers of Commerce can facilitate networking opportunities for B2B companies, allowing them to connect with local businesses, potential partners, and other stakeholders in the target market. Besides, they offer training and support to B2B companies on topics such as export regulations, cultural awareness, and language skills. When navigating regulatory and political challenges that may arise during the internationalization process, Chambers of Commerce can advocate on behalf of B2B companies to government officials and other stakeholders in the target market. </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Identify potential risks and vulnerabilities that could impact the company's operations, such as supply chain disruptions, natural disasters, cyber-attacks, or geopolitical events. The employees should be trained to be crisis-ready because the resilience is built into day-by-day operations. </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4.1.3. Confirmation post-revising</w:t>
      </w:r>
    </w:p>
    <w:p w:rsidR="00000000" w:rsidDel="00000000" w:rsidP="00000000" w:rsidRDefault="00000000" w:rsidRPr="00000000" w14:paraId="00000033">
      <w:pPr>
        <w:ind w:firstLine="480"/>
        <w:rPr>
          <w:rFonts w:ascii="Times" w:cs="Times" w:eastAsia="Times" w:hAnsi="Times"/>
          <w:sz w:val="24"/>
          <w:szCs w:val="24"/>
        </w:rPr>
      </w:pPr>
      <w:r w:rsidDel="00000000" w:rsidR="00000000" w:rsidRPr="00000000">
        <w:rPr>
          <w:rFonts w:ascii="Times" w:cs="Times" w:eastAsia="Times" w:hAnsi="Times"/>
          <w:sz w:val="24"/>
          <w:szCs w:val="24"/>
          <w:rtl w:val="0"/>
        </w:rPr>
        <w:t xml:space="preserve">Confirmation post-revising is a sensemaking method. In confirmation post-revising, decision-makers revisit their initial assumptions or decisions and identify the key factors or information that led to those decisions. They then seek out new information that contradicts or challenges those factors and reconsiders their initial assumptions or decisions in light of this new information. Confirmation post-revising is particularly useful in situations where the decision or assumption made in the initial sensemaking process has significant consequences or implications. By revisiting and re-evaluating the decision or assumption, decision-makers can ensure that they are making the most informed and accurate decision possible.</w:t>
      </w:r>
    </w:p>
    <w:p w:rsidR="00000000" w:rsidDel="00000000" w:rsidP="00000000" w:rsidRDefault="00000000" w:rsidRPr="00000000" w14:paraId="00000034">
      <w:pPr>
        <w:ind w:firstLine="480"/>
        <w:rPr>
          <w:rFonts w:ascii="Times" w:cs="Times" w:eastAsia="Times" w:hAnsi="Times"/>
          <w:sz w:val="24"/>
          <w:szCs w:val="24"/>
        </w:rPr>
      </w:pPr>
      <w:r w:rsidDel="00000000" w:rsidR="00000000" w:rsidRPr="00000000">
        <w:rPr>
          <w:rFonts w:ascii="Times" w:cs="Times" w:eastAsia="Times" w:hAnsi="Times"/>
          <w:sz w:val="24"/>
          <w:szCs w:val="24"/>
          <w:rtl w:val="0"/>
        </w:rPr>
        <w:t xml:space="preserve">The reason why confirmation post-revising is valid can be traced back to the  formation process of sensemaking. Bases in sensemaking refer to the underlying principles, frameworks, and heuristics that individuals use to make sense of information and events. There are several bases in sensemaking, including 1) causal inference which refers to the tendency of individuals to assume that there is a cause-and-effect relationship between two events or a relationship that is not necessarily clear; 2) analogies that involves comparing a new situation to a previous situation that the individual is familiar with, in order to make sense of the new situation; 3) categories and prototypes that involve grouping information into categories and forming a mental representation of a typical example, or prototype, of each category, which helps individuals to quickly process and make sense of new information; and 4) mental models that refer to an individual's internal representation of a situation, event, or system which based on an individual's past experiences, knowledge, and assumptions, and they help to guide the individual's perception and interpretation of new information.</w:t>
      </w:r>
    </w:p>
    <w:p w:rsidR="00000000" w:rsidDel="00000000" w:rsidP="00000000" w:rsidRDefault="00000000" w:rsidRPr="00000000" w14:paraId="00000035">
      <w:pPr>
        <w:ind w:firstLine="480"/>
        <w:rPr>
          <w:rFonts w:ascii="Times" w:cs="Times" w:eastAsia="Times" w:hAnsi="Times"/>
          <w:sz w:val="24"/>
          <w:szCs w:val="24"/>
        </w:rPr>
      </w:pPr>
      <w:r w:rsidDel="00000000" w:rsidR="00000000" w:rsidRPr="00000000">
        <w:rPr>
          <w:rFonts w:ascii="Times" w:cs="Times" w:eastAsia="Times" w:hAnsi="Times"/>
          <w:sz w:val="24"/>
          <w:szCs w:val="24"/>
          <w:rtl w:val="0"/>
        </w:rPr>
        <w:t xml:space="preserve">The reasons for using these bases in sensemaking are varied, but they generally stem from the need to quickly and efficiently make sense of complex or ambiguous information. Bases in sensemaking help individuals to organize and structure information, identify patterns and relationships, and make predictions about future events. They can also help to reduce cognitive overload and allow individuals to focus on the most relevant aspects of a situation or event. However, the use of bases in sensemaking can also lead to biases and errors in perception and interpretation, particularly if the individual's assumptions or mental models are incorrect or incomplete. Biases and errors in sensemaking can significantly impact the success of internationalisation efforts. Some common biases and errors in sensemaking that B2B companies may encounter are 1) confirmation bias which occurs when decision-makers seek out information that confirms their pre-existing beliefs or assumptions while ignoring information that contradicts them. This can lead to overconfidence and flawed decision-making; 2) availability bias which occurs when decision-makers rely too heavily on information that is readily available, rather than seeking out a full range of information sources. This can lead to incomplete or inaccurate assessments of foreign markets and cultures; 3) stereotyping and cultural biases which occur when decision-makers rely on generalized assumptions or stereotypes about foreign cultures, rather than seeking out specific information about individual markets and customers. This can lead to misunderstandings, miscommunications, and inappropriate business practices; and 4) anchoring bias which occurs when decision-makers anchor their perceptions or judgments to a single piece of information, rather than considering a full range of information. This can lead to narrow thinking and missed opportunities.</w:t>
      </w:r>
    </w:p>
    <w:p w:rsidR="00000000" w:rsidDel="00000000" w:rsidP="00000000" w:rsidRDefault="00000000" w:rsidRPr="00000000" w14:paraId="00000036">
      <w:pPr>
        <w:ind w:firstLine="480"/>
        <w:rPr>
          <w:rFonts w:ascii="Times" w:cs="Times" w:eastAsia="Times" w:hAnsi="Times"/>
          <w:sz w:val="24"/>
          <w:szCs w:val="24"/>
        </w:rPr>
      </w:pPr>
      <w:r w:rsidDel="00000000" w:rsidR="00000000" w:rsidRPr="00000000">
        <w:rPr>
          <w:rFonts w:ascii="Times" w:cs="Times" w:eastAsia="Times" w:hAnsi="Times"/>
          <w:sz w:val="24"/>
          <w:szCs w:val="24"/>
          <w:rtl w:val="0"/>
        </w:rPr>
        <w:t xml:space="preserve">In the context of internationalisation, confirmation post-revising can be particularly useful for identifying and addressing </w:t>
      </w:r>
      <w:r w:rsidDel="00000000" w:rsidR="00000000" w:rsidRPr="00000000">
        <w:rPr>
          <w:rFonts w:ascii="Times" w:cs="Times" w:eastAsia="Times" w:hAnsi="Times"/>
          <w:b w:val="1"/>
          <w:sz w:val="24"/>
          <w:szCs w:val="24"/>
          <w:rtl w:val="0"/>
        </w:rPr>
        <w:t xml:space="preserve">cultural biases and misunderstandings for a</w:t>
      </w:r>
      <w:r w:rsidDel="00000000" w:rsidR="00000000" w:rsidRPr="00000000">
        <w:rPr>
          <w:rFonts w:ascii="Times" w:cs="Times" w:eastAsia="Times" w:hAnsi="Times"/>
          <w:sz w:val="24"/>
          <w:szCs w:val="24"/>
          <w:rtl w:val="0"/>
        </w:rPr>
        <w:t xml:space="preserve"> B2B company that assumes that a particular business practice is universally accepted in all cultures. </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200" w:before="200" w:line="240" w:lineRule="auto"/>
        <w:ind w:left="720" w:right="0" w:firstLine="0"/>
        <w:jc w:val="both"/>
        <w:rPr>
          <w:rFonts w:ascii="Times New Roman" w:cs="Times New Roman" w:eastAsia="Times New Roman" w:hAnsi="Times New Roman"/>
          <w:color w:val="222222"/>
          <w:sz w:val="20"/>
          <w:szCs w:val="20"/>
          <w:highlight w:val="white"/>
        </w:rPr>
      </w:pPr>
      <w:r w:rsidDel="00000000" w:rsidR="00000000" w:rsidRPr="00000000">
        <w:rPr>
          <w:rFonts w:ascii="Times New Roman" w:cs="Times New Roman" w:eastAsia="Times New Roman" w:hAnsi="Times New Roman"/>
          <w:color w:val="222222"/>
          <w:sz w:val="20"/>
          <w:szCs w:val="20"/>
          <w:highlight w:val="white"/>
          <w:rtl w:val="0"/>
        </w:rPr>
        <w:t xml:space="preserve">Surely, East and Southeast Asia have the highest number of potential customers. However, the biggest obstacle we found by revising our previous misunderstanding of the target marketplaces is to transfer the gastronomic culture and the predisposition to consume products like ours for the first time. Abroad, especially in these areas, these products are difficult to establish in areas beyond the capitals since they have a low level of willingness to try our products, and the cost of marketing promotion is too high. (Olive oil producer, Entrepreneur)</w:t>
      </w:r>
    </w:p>
    <w:p w:rsidR="00000000" w:rsidDel="00000000" w:rsidP="00000000" w:rsidRDefault="00000000" w:rsidRPr="00000000" w14:paraId="00000038">
      <w:pPr>
        <w:ind w:firstLine="480"/>
        <w:rPr>
          <w:rFonts w:ascii="Roboto" w:cs="Roboto" w:eastAsia="Roboto" w:hAnsi="Roboto"/>
          <w:color w:val="374151"/>
          <w:sz w:val="24"/>
          <w:szCs w:val="24"/>
          <w:shd w:fill="f7f7f8" w:val="clear"/>
        </w:rPr>
      </w:pPr>
      <w:r w:rsidDel="00000000" w:rsidR="00000000" w:rsidRPr="00000000">
        <w:rPr>
          <w:rFonts w:ascii="Times" w:cs="Times" w:eastAsia="Times" w:hAnsi="Times"/>
          <w:sz w:val="24"/>
          <w:szCs w:val="24"/>
          <w:rtl w:val="0"/>
        </w:rPr>
        <w:t xml:space="preserve">The olive oil production company revised their assumption by seeking out information that contradicts it, in this case, the cultural norms and preferences in a particular foreign market. This can help the company to adapt their business practices and better meet the needs and expectations of customers in that market.</w:t>
      </w:r>
      <w:r w:rsidDel="00000000" w:rsidR="00000000" w:rsidRPr="00000000">
        <w:rPr>
          <w:rFonts w:ascii="Times New Roman" w:cs="Times New Roman" w:eastAsia="Times New Roman" w:hAnsi="Times New Roman"/>
          <w:color w:val="222222"/>
          <w:sz w:val="20"/>
          <w:szCs w:val="20"/>
          <w:highlight w:val="white"/>
          <w:rtl w:val="0"/>
        </w:rPr>
        <w:t xml:space="preserve"> </w:t>
      </w:r>
      <w:r w:rsidDel="00000000" w:rsidR="00000000" w:rsidRPr="00000000">
        <w:rPr>
          <w:rFonts w:ascii="Times" w:cs="Times" w:eastAsia="Times" w:hAnsi="Times"/>
          <w:sz w:val="24"/>
          <w:szCs w:val="24"/>
          <w:rtl w:val="0"/>
        </w:rPr>
        <w:t xml:space="preserve">To avoid these biases and errors, B2B companies should adopt a systematic and open-minded approach to sensemaking, which involves seeking out a broad range of information sources, testing assumptions and beliefs, and challenging preconceived notions. </w:t>
      </w:r>
      <w:r w:rsidDel="00000000" w:rsidR="00000000" w:rsidRPr="00000000">
        <w:rPr>
          <w:rtl w:val="0"/>
        </w:rPr>
      </w:r>
    </w:p>
    <w:p w:rsidR="00000000" w:rsidDel="00000000" w:rsidP="00000000" w:rsidRDefault="00000000" w:rsidRPr="00000000" w14:paraId="00000039">
      <w:pPr>
        <w:ind w:firstLine="480"/>
        <w:rPr>
          <w:rFonts w:ascii="Times" w:cs="Times" w:eastAsia="Times" w:hAnsi="Times"/>
          <w:sz w:val="24"/>
          <w:szCs w:val="24"/>
        </w:rPr>
      </w:pPr>
      <w:r w:rsidDel="00000000" w:rsidR="00000000" w:rsidRPr="00000000">
        <w:rPr>
          <w:rFonts w:ascii="Times" w:cs="Times" w:eastAsia="Times" w:hAnsi="Times"/>
          <w:sz w:val="24"/>
          <w:szCs w:val="24"/>
          <w:rtl w:val="0"/>
        </w:rPr>
        <w:t xml:space="preserve">Confirmation post-revising can also be useful for identifying </w:t>
      </w:r>
      <w:r w:rsidDel="00000000" w:rsidR="00000000" w:rsidRPr="00000000">
        <w:rPr>
          <w:rFonts w:ascii="Times" w:cs="Times" w:eastAsia="Times" w:hAnsi="Times"/>
          <w:b w:val="1"/>
          <w:sz w:val="24"/>
          <w:szCs w:val="24"/>
          <w:rtl w:val="0"/>
        </w:rPr>
        <w:t xml:space="preserve">missed opportunities or overlooked information </w:t>
      </w:r>
      <w:r w:rsidDel="00000000" w:rsidR="00000000" w:rsidRPr="00000000">
        <w:rPr>
          <w:rFonts w:ascii="Times" w:cs="Times" w:eastAsia="Times" w:hAnsi="Times"/>
          <w:sz w:val="24"/>
          <w:szCs w:val="24"/>
          <w:rtl w:val="0"/>
        </w:rPr>
        <w:t xml:space="preserve">in previous sensemaking efforts. </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200" w:before="200" w:line="240" w:lineRule="auto"/>
        <w:ind w:left="720" w:right="0" w:firstLine="0"/>
        <w:jc w:val="both"/>
        <w:rPr>
          <w:rFonts w:ascii="Times New Roman" w:cs="Times New Roman" w:eastAsia="Times New Roman" w:hAnsi="Times New Roman"/>
          <w:color w:val="222222"/>
          <w:sz w:val="20"/>
          <w:szCs w:val="20"/>
          <w:highlight w:val="white"/>
        </w:rPr>
      </w:pPr>
      <w:r w:rsidDel="00000000" w:rsidR="00000000" w:rsidRPr="00000000">
        <w:rPr>
          <w:rFonts w:ascii="Times New Roman" w:cs="Times New Roman" w:eastAsia="Times New Roman" w:hAnsi="Times New Roman"/>
          <w:color w:val="222222"/>
          <w:sz w:val="20"/>
          <w:szCs w:val="20"/>
          <w:highlight w:val="white"/>
          <w:rtl w:val="0"/>
        </w:rPr>
        <w:t xml:space="preserve">The relationship between our company and our customers didn’t change a lot, but the channel does. In fact, at the latest fairs, there has been a large influx because there was a need to review contacts and create the right opportunities. I always receive proposals from Piedmont in my email list, and they continue to carry out these operations. I don't mean to say that the whole region has to pay a lot to attend the business fairs, but if one goes as an individual unless you represent </w:t>
      </w:r>
      <w:r w:rsidDel="00000000" w:rsidR="00000000" w:rsidRPr="00000000">
        <w:rPr>
          <w:rFonts w:ascii="Times New Roman" w:cs="Times New Roman" w:eastAsia="Times New Roman" w:hAnsi="Times New Roman"/>
          <w:i w:val="1"/>
          <w:color w:val="222222"/>
          <w:sz w:val="20"/>
          <w:szCs w:val="20"/>
          <w:highlight w:val="white"/>
          <w:rtl w:val="0"/>
        </w:rPr>
        <w:t xml:space="preserve">Barilla</w:t>
      </w:r>
      <w:r w:rsidDel="00000000" w:rsidR="00000000" w:rsidRPr="00000000">
        <w:rPr>
          <w:rFonts w:ascii="Times New Roman" w:cs="Times New Roman" w:eastAsia="Times New Roman" w:hAnsi="Times New Roman"/>
          <w:color w:val="222222"/>
          <w:sz w:val="20"/>
          <w:szCs w:val="20"/>
          <w:highlight w:val="white"/>
          <w:rtl w:val="0"/>
        </w:rPr>
        <w:t xml:space="preserve"> or </w:t>
      </w:r>
      <w:r w:rsidDel="00000000" w:rsidR="00000000" w:rsidRPr="00000000">
        <w:rPr>
          <w:rFonts w:ascii="Times New Roman" w:cs="Times New Roman" w:eastAsia="Times New Roman" w:hAnsi="Times New Roman"/>
          <w:i w:val="1"/>
          <w:color w:val="222222"/>
          <w:sz w:val="20"/>
          <w:szCs w:val="20"/>
          <w:highlight w:val="white"/>
          <w:rtl w:val="0"/>
        </w:rPr>
        <w:t xml:space="preserve">Ferrero</w:t>
      </w:r>
      <w:r w:rsidDel="00000000" w:rsidR="00000000" w:rsidRPr="00000000">
        <w:rPr>
          <w:rFonts w:ascii="Times New Roman" w:cs="Times New Roman" w:eastAsia="Times New Roman" w:hAnsi="Times New Roman"/>
          <w:color w:val="222222"/>
          <w:sz w:val="20"/>
          <w:szCs w:val="20"/>
          <w:highlight w:val="white"/>
          <w:rtl w:val="0"/>
        </w:rPr>
        <w:t xml:space="preserve">, the places are not privileged. (Processed food, Foreign markets expert)</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Sensemaking begins with an individual observing something amidst a sequence of events - something that appears as a surprise, a set of conflicting cues, or something that seems out of place (Weick, 1995). In this case, the food processing company build their sensemaking process by confirming if there is a reasonable consequence led by a certain cause. When the </w:t>
      </w:r>
      <w:r w:rsidDel="00000000" w:rsidR="00000000" w:rsidRPr="00000000">
        <w:rPr>
          <w:rFonts w:ascii="Times" w:cs="Times" w:eastAsia="Times" w:hAnsi="Times"/>
          <w:sz w:val="24"/>
          <w:szCs w:val="24"/>
          <w:rtl w:val="0"/>
        </w:rPr>
        <w:t xml:space="preserve">surprise, or to be more precise, a discrepant set of cues occur, that means to say some components in their business model don’t fit in their internationalisation process. </w:t>
      </w:r>
      <w:r w:rsidDel="00000000" w:rsidR="00000000" w:rsidRPr="00000000">
        <w:rPr>
          <w:rFonts w:ascii="Times" w:cs="Times" w:eastAsia="Times" w:hAnsi="Times"/>
          <w:sz w:val="24"/>
          <w:szCs w:val="24"/>
          <w:rtl w:val="0"/>
        </w:rPr>
        <w:t xml:space="preserve">By revisiting previous decisions or assumptions and seeking out new information, B2B companies can gain a more comprehensive understanding of foreign markets, and make more informed decisions about how to approach internationalisation.</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4.1.4. Value consistency </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B2B companies can benefit from maintaining consistency in their organizational values and beliefs throughout the internationalization process, encompassing strategic development, implementation, and decision-making. This practice is particularly significant when navigating the intricacies of operating in diverse cultural contexts and adapting to novel business environments. It serves as a constructive sensemaking process for B2B companies as they navigate the complexities by fostering coherence, promoting communication and collaboration, and aligning activities with wider organizational goals and values.</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Value consistency has the potential to facilitate effective communication and collaboration with stakeholders, both internal and external, by offering a shared framework for comprehending and interpreting business activities. </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0" w:line="240" w:lineRule="auto"/>
        <w:ind w:left="720" w:right="0" w:firstLine="0"/>
        <w:jc w:val="both"/>
        <w:rPr>
          <w:rFonts w:ascii="Times New Roman" w:cs="Times New Roman" w:eastAsia="Times New Roman" w:hAnsi="Times New Roman"/>
          <w:color w:val="222222"/>
          <w:sz w:val="20"/>
          <w:szCs w:val="20"/>
          <w:highlight w:val="white"/>
        </w:rPr>
      </w:pPr>
      <w:r w:rsidDel="00000000" w:rsidR="00000000" w:rsidRPr="00000000">
        <w:rPr>
          <w:rFonts w:ascii="Times New Roman" w:cs="Times New Roman" w:eastAsia="Times New Roman" w:hAnsi="Times New Roman"/>
          <w:color w:val="222222"/>
          <w:sz w:val="20"/>
          <w:szCs w:val="20"/>
          <w:highlight w:val="white"/>
          <w:rtl w:val="0"/>
        </w:rPr>
        <w:t xml:space="preserve">There has been a slightly more human aspect. That is, a desire to meet again, to contact partners, so we have also received unexpected visits from our customers and suppliers. These are people who used to work quietly with the usual routine but now have the desire to come and visit us, to re-establish contact. We also work hard on human relationships, almost like friendship, and these are the main changes.</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200" w:before="0" w:line="240" w:lineRule="auto"/>
        <w:ind w:left="720" w:right="0" w:firstLine="0"/>
        <w:jc w:val="both"/>
        <w:rPr>
          <w:rFonts w:ascii="Times New Roman" w:cs="Times New Roman" w:eastAsia="Times New Roman" w:hAnsi="Times New Roman"/>
          <w:color w:val="222222"/>
          <w:sz w:val="20"/>
          <w:szCs w:val="20"/>
          <w:highlight w:val="white"/>
        </w:rPr>
      </w:pPr>
      <w:r w:rsidDel="00000000" w:rsidR="00000000" w:rsidRPr="00000000">
        <w:rPr>
          <w:rFonts w:ascii="Times New Roman" w:cs="Times New Roman" w:eastAsia="Times New Roman" w:hAnsi="Times New Roman"/>
          <w:color w:val="222222"/>
          <w:sz w:val="20"/>
          <w:szCs w:val="20"/>
          <w:highlight w:val="white"/>
          <w:rtl w:val="0"/>
        </w:rPr>
        <w:t xml:space="preserve">The relationship with our partners is valuable because, since we are not a big company, our customers are not just numbers to us, we know a lot about them. We may have visited them, or they have come to us... Maybe we have dinner where we don't talk about work, but about something else entirely, which allows us to connect. And perhaps for us small companies, the road is more achievable. (Electronic equipment, COO)</w:t>
      </w:r>
    </w:p>
    <w:p w:rsidR="00000000" w:rsidDel="00000000" w:rsidP="00000000" w:rsidRDefault="00000000" w:rsidRPr="00000000" w14:paraId="00000041">
      <w:pPr>
        <w:ind w:firstLine="480"/>
        <w:rPr>
          <w:rFonts w:ascii="Times" w:cs="Times" w:eastAsia="Times" w:hAnsi="Times"/>
          <w:sz w:val="24"/>
          <w:szCs w:val="24"/>
        </w:rPr>
      </w:pPr>
      <w:r w:rsidDel="00000000" w:rsidR="00000000" w:rsidRPr="00000000">
        <w:rPr>
          <w:rFonts w:ascii="Times" w:cs="Times" w:eastAsia="Times" w:hAnsi="Times"/>
          <w:sz w:val="24"/>
          <w:szCs w:val="24"/>
          <w:rtl w:val="0"/>
        </w:rPr>
        <w:t xml:space="preserve">Prioritizing value consistency can assist B2B companies in aligning their internationalization initiatives with their broader organizational objectives and values, such as social responsibility, sustainability, and ethical business practices. This approach transcends the mere expansion into new markets and contributes to a more significant and impactful approach to international business. </w:t>
      </w:r>
      <w:r w:rsidDel="00000000" w:rsidR="00000000" w:rsidRPr="00000000">
        <w:rPr>
          <w:rFonts w:ascii="Times" w:cs="Times" w:eastAsia="Times" w:hAnsi="Times"/>
          <w:sz w:val="24"/>
          <w:szCs w:val="24"/>
          <w:rtl w:val="0"/>
        </w:rPr>
        <w:t xml:space="preserve">As a result, trust and credibility with customers, suppliers, and partners can be built, and the company's reputation can be bolstered in the global marketplace.</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0" w:line="240" w:lineRule="auto"/>
        <w:ind w:left="720" w:right="0" w:firstLine="0"/>
        <w:jc w:val="both"/>
        <w:rPr>
          <w:rFonts w:ascii="Times New Roman" w:cs="Times New Roman" w:eastAsia="Times New Roman" w:hAnsi="Times New Roman"/>
          <w:color w:val="222222"/>
          <w:sz w:val="20"/>
          <w:szCs w:val="20"/>
          <w:highlight w:val="white"/>
        </w:rPr>
      </w:pPr>
      <w:r w:rsidDel="00000000" w:rsidR="00000000" w:rsidRPr="00000000">
        <w:rPr>
          <w:rFonts w:ascii="Times New Roman" w:cs="Times New Roman" w:eastAsia="Times New Roman" w:hAnsi="Times New Roman"/>
          <w:color w:val="222222"/>
          <w:sz w:val="20"/>
          <w:szCs w:val="20"/>
          <w:highlight w:val="white"/>
          <w:rtl w:val="0"/>
        </w:rPr>
        <w:t xml:space="preserve">In my opinion, all experience is positive, because now it also allows us to focus in a different way. From our Chinese experience, we have seen that they sell everything to everyone. Therefore, I think it is necessary to find another way to enter the market. A market needs other methods to find not so much the end buyer, but perhaps to find the distributor or agent. Someone needs to be there who knows the market and say "this can be the distributor that is right for you." Someone who covers you, like a scout.</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200" w:before="0" w:line="240" w:lineRule="auto"/>
        <w:ind w:left="720" w:right="0" w:firstLine="0"/>
        <w:jc w:val="both"/>
        <w:rPr>
          <w:rFonts w:ascii="Times" w:cs="Times" w:eastAsia="Times" w:hAnsi="Times"/>
          <w:sz w:val="24"/>
          <w:szCs w:val="24"/>
        </w:rPr>
      </w:pPr>
      <w:r w:rsidDel="00000000" w:rsidR="00000000" w:rsidRPr="00000000">
        <w:rPr>
          <w:rFonts w:ascii="Times New Roman" w:cs="Times New Roman" w:eastAsia="Times New Roman" w:hAnsi="Times New Roman"/>
          <w:color w:val="222222"/>
          <w:sz w:val="20"/>
          <w:szCs w:val="20"/>
          <w:highlight w:val="white"/>
          <w:rtl w:val="0"/>
        </w:rPr>
        <w:t xml:space="preserve">Why would you want to go to individual retailers? There are so many... not at all focused on a single product or sector, it seems like a fish market. So it's a very particular market. We're really taking on the most extreme market. (Focus group, companies’ managers)</w:t>
      </w:r>
      <w:r w:rsidDel="00000000" w:rsidR="00000000" w:rsidRPr="00000000">
        <w:rPr>
          <w:rtl w:val="0"/>
        </w:rPr>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B2B companies need to calibrate their value consistency in sensemaking processes from time to time because the international business environment is constantly evolving and changing. As Weich (1995) stated, </w:t>
      </w:r>
      <w:r w:rsidDel="00000000" w:rsidR="00000000" w:rsidRPr="00000000">
        <w:rPr>
          <w:rFonts w:ascii="Times" w:cs="Times" w:eastAsia="Times" w:hAnsi="Times"/>
          <w:sz w:val="24"/>
          <w:szCs w:val="24"/>
          <w:rtl w:val="0"/>
        </w:rPr>
        <w:t xml:space="preserve">discrepant cues are spotted when someone looks back over elapsed experience. The act of looking is retrospective (Weick, 1995). </w:t>
      </w:r>
      <w:r w:rsidDel="00000000" w:rsidR="00000000" w:rsidRPr="00000000">
        <w:rPr>
          <w:rFonts w:ascii="Times" w:cs="Times" w:eastAsia="Times" w:hAnsi="Times"/>
          <w:sz w:val="24"/>
          <w:szCs w:val="24"/>
          <w:rtl w:val="0"/>
        </w:rPr>
        <w:t xml:space="preserve">The values and beliefs that were consistent and relevant at the start of the internationalization process may no longer be applicable or effective in the current context. As B2B companies expand their operations into new markets and cultures, they may encounter unique challenges that require them to adjust their values and beliefs to ensure consistency and coherence across all aspects of the internationalization process.</w:t>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Regularly calibrating value consistency in sensemaking processes enables B2B companies to stay responsive to changing circumstances and to ensure that their values and beliefs remain relevant and effective in the current context. This approach can help B2B companies to remain competitive, build and maintain strong relationships with stakeholders, and achieve their broader organizational goals and values in the global marketplace.</w:t>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4.2. Belief-driven peripheral path</w:t>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In the context of B2B companies' internationalization process, </w:t>
      </w:r>
      <w:r w:rsidDel="00000000" w:rsidR="00000000" w:rsidRPr="00000000">
        <w:rPr>
          <w:rFonts w:ascii="Times" w:cs="Times" w:eastAsia="Times" w:hAnsi="Times"/>
          <w:i w:val="1"/>
          <w:sz w:val="24"/>
          <w:szCs w:val="24"/>
          <w:rtl w:val="0"/>
        </w:rPr>
        <w:t xml:space="preserve">arguing</w:t>
      </w:r>
      <w:r w:rsidDel="00000000" w:rsidR="00000000" w:rsidRPr="00000000">
        <w:rPr>
          <w:rFonts w:ascii="Times" w:cs="Times" w:eastAsia="Times" w:hAnsi="Times"/>
          <w:sz w:val="24"/>
          <w:szCs w:val="24"/>
          <w:rtl w:val="0"/>
        </w:rPr>
        <w:t xml:space="preserve"> and </w:t>
      </w:r>
      <w:r w:rsidDel="00000000" w:rsidR="00000000" w:rsidRPr="00000000">
        <w:rPr>
          <w:rFonts w:ascii="Times" w:cs="Times" w:eastAsia="Times" w:hAnsi="Times"/>
          <w:i w:val="1"/>
          <w:sz w:val="24"/>
          <w:szCs w:val="24"/>
          <w:rtl w:val="0"/>
        </w:rPr>
        <w:t xml:space="preserve">expecting</w:t>
      </w:r>
      <w:r w:rsidDel="00000000" w:rsidR="00000000" w:rsidRPr="00000000">
        <w:rPr>
          <w:rFonts w:ascii="Times" w:cs="Times" w:eastAsia="Times" w:hAnsi="Times"/>
          <w:sz w:val="24"/>
          <w:szCs w:val="24"/>
          <w:rtl w:val="0"/>
        </w:rPr>
        <w:t xml:space="preserve"> can be conceptualized as belief-driven sensemaking processes. These processes involve the utilization of beliefs and assumptions to comprehend the intricacies and uncertainties associated with internationalization.</w:t>
      </w:r>
    </w:p>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Arguing entails engaging in debate and discussion to make sense of the situation. It is premised on the belief that through dialogue and challenging each other's assumptions, the company can achieve a more comprehensive understanding of the challenges and opportunities presented by internationalization. This can assist in identifying potential pitfalls and developing effective strategies to address them. In contrast, expecting involves utilizing assumptions and predictions to make sense of the situation. It is based on the belief that by anticipating and preparing for potential outcomes and challenges, the company can enhance its prospects for success in the internationalization process. This can help identify potential opportunities and develop effective strategies to capitalize on them.</w:t>
      </w:r>
    </w:p>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New Roman" w:cs="Times New Roman" w:eastAsia="Times New Roman" w:hAnsi="Times New Roman"/>
          <w:color w:val="222222"/>
          <w:sz w:val="18"/>
          <w:szCs w:val="18"/>
          <w:highlight w:val="white"/>
        </w:rPr>
      </w:pPr>
      <w:r w:rsidDel="00000000" w:rsidR="00000000" w:rsidRPr="00000000">
        <w:rPr>
          <w:rFonts w:ascii="Times" w:cs="Times" w:eastAsia="Times" w:hAnsi="Times"/>
          <w:sz w:val="24"/>
          <w:szCs w:val="24"/>
          <w:rtl w:val="0"/>
        </w:rPr>
        <w:t xml:space="preserve">Both </w:t>
      </w:r>
      <w:r w:rsidDel="00000000" w:rsidR="00000000" w:rsidRPr="00000000">
        <w:rPr>
          <w:rFonts w:ascii="Times" w:cs="Times" w:eastAsia="Times" w:hAnsi="Times"/>
          <w:i w:val="1"/>
          <w:sz w:val="24"/>
          <w:szCs w:val="24"/>
          <w:rtl w:val="0"/>
        </w:rPr>
        <w:t xml:space="preserve">arguing</w:t>
      </w:r>
      <w:r w:rsidDel="00000000" w:rsidR="00000000" w:rsidRPr="00000000">
        <w:rPr>
          <w:rFonts w:ascii="Times" w:cs="Times" w:eastAsia="Times" w:hAnsi="Times"/>
          <w:sz w:val="24"/>
          <w:szCs w:val="24"/>
          <w:rtl w:val="0"/>
        </w:rPr>
        <w:t xml:space="preserve"> and </w:t>
      </w:r>
      <w:r w:rsidDel="00000000" w:rsidR="00000000" w:rsidRPr="00000000">
        <w:rPr>
          <w:rFonts w:ascii="Times" w:cs="Times" w:eastAsia="Times" w:hAnsi="Times"/>
          <w:i w:val="1"/>
          <w:sz w:val="24"/>
          <w:szCs w:val="24"/>
          <w:rtl w:val="0"/>
        </w:rPr>
        <w:t xml:space="preserve">expecting</w:t>
      </w:r>
      <w:r w:rsidDel="00000000" w:rsidR="00000000" w:rsidRPr="00000000">
        <w:rPr>
          <w:rFonts w:ascii="Times" w:cs="Times" w:eastAsia="Times" w:hAnsi="Times"/>
          <w:sz w:val="24"/>
          <w:szCs w:val="24"/>
          <w:rtl w:val="0"/>
        </w:rPr>
        <w:t xml:space="preserve"> can be valuable sensemaking processes for B2B companies as they navigate the complexities of internationalization. By employing beliefs and assumptions to make sense of the situation, these processes can aid in creating coherence and purpose, facilitating communication and collaboration, and aligning activities with broader organizational goals and values.</w:t>
      </w:r>
      <w:r w:rsidDel="00000000" w:rsidR="00000000" w:rsidRPr="00000000">
        <w:rPr>
          <w:rtl w:val="0"/>
        </w:rPr>
      </w:r>
    </w:p>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4.2.1. Communication effectiveness/</w:t>
      </w:r>
      <w:r w:rsidDel="00000000" w:rsidR="00000000" w:rsidRPr="00000000">
        <w:rPr>
          <w:rFonts w:ascii="Times" w:cs="Times" w:eastAsia="Times" w:hAnsi="Times"/>
          <w:sz w:val="24"/>
          <w:szCs w:val="24"/>
          <w:rtl w:val="0"/>
        </w:rPr>
        <w:t xml:space="preserve">continuity</w:t>
      </w:r>
      <w:r w:rsidDel="00000000" w:rsidR="00000000" w:rsidRPr="00000000">
        <w:rPr>
          <w:rtl w:val="0"/>
        </w:rPr>
      </w:r>
    </w:p>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Sensemaking, in its literal sense, refers to the process of making sense of something. This act of invention produces artefacts such as language games and texts. However, to reduce the bulk of organizational life to the metaphor of reading texts would ignore much of the lived experience that goes into organizational processes. Czarniawska-Joerges (1992) notes that the text metaphor implies a static result of social construction, suggests a unity that may not exist in subuniverses of meaning, and ignores the possibility of meaning not being constructed or going awry. Thus, while texts are a common form of interpretation, organizations themselves cannot be reduced to texts.</w:t>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Therefore, the language </w:t>
      </w:r>
      <w:r w:rsidDel="00000000" w:rsidR="00000000" w:rsidRPr="00000000">
        <w:rPr>
          <w:rFonts w:ascii="Times" w:cs="Times" w:eastAsia="Times" w:hAnsi="Times"/>
          <w:sz w:val="24"/>
          <w:szCs w:val="24"/>
          <w:rtl w:val="0"/>
        </w:rPr>
        <w:t xml:space="preserve">is an important vehicle for constructing sense:</w:t>
      </w:r>
      <w:r w:rsidDel="00000000" w:rsidR="00000000" w:rsidRPr="00000000">
        <w:rPr>
          <w:rtl w:val="0"/>
        </w:rPr>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200" w:before="200" w:line="240" w:lineRule="auto"/>
        <w:ind w:left="720" w:right="0" w:firstLine="0"/>
        <w:jc w:val="both"/>
        <w:rPr>
          <w:rFonts w:ascii="Times New Roman" w:cs="Times New Roman" w:eastAsia="Times New Roman" w:hAnsi="Times New Roman"/>
          <w:color w:val="222222"/>
          <w:sz w:val="20"/>
          <w:szCs w:val="20"/>
          <w:highlight w:val="white"/>
        </w:rPr>
      </w:pPr>
      <w:r w:rsidDel="00000000" w:rsidR="00000000" w:rsidRPr="00000000">
        <w:rPr>
          <w:rFonts w:ascii="Times New Roman" w:cs="Times New Roman" w:eastAsia="Times New Roman" w:hAnsi="Times New Roman"/>
          <w:color w:val="222222"/>
          <w:sz w:val="20"/>
          <w:szCs w:val="20"/>
          <w:highlight w:val="white"/>
          <w:rtl w:val="0"/>
        </w:rPr>
        <w:t xml:space="preserve">The linguistic issues of the country of interest or business activity are still a barrier to the penetration of some foreign markets. This situation is particularly pronounced for industries with a high degree of specialization like ours. (Pharmaceutical and medical devices, CEO)</w:t>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Effective communication is essential in the context of international business, where cultural and linguistic differences can pose significant barriers. One effective approach to overcome these barriers is to use clear and concise language in communication. Clear and concise language reduces ambiguity, improves comprehension, and minimizes misunderstandings, which are critical factors in building trust and strengthening relationships with international partners. The use of jargon or colloquialisms should be avoided as they may not translate well across cultures. It is also essential to consider that English may not be the primary language of the person being communicated with, which further emphasizes the need for clear and concise language.</w:t>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Another approach to facilitate communication with international partners is to hire local staff or consultants who have expertise in the local culture and language. Local experts can provide invaluable insights into local business practices, cultural nuances, and customs that may impact communication and business outcomes. They can help bridge the gap between different cultural norms and expectations, and facilitate a smoother communication process. Thus, hiring local experts can be an effective way to improve communication effectiveness, and build stronger relationships with international partners.</w:t>
      </w:r>
    </w:p>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The goal of understanding sensemaking is to comprehend how individuals make sense of their situations and define and share realities that become objectified in routinized ways. This objective involves exploring how symbolic processes constitute the objective, taken-for-granted aspects of everyday life and make them real.</w:t>
      </w:r>
    </w:p>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200" w:before="200" w:line="240" w:lineRule="auto"/>
        <w:ind w:left="720" w:right="0" w:firstLine="0"/>
        <w:jc w:val="both"/>
        <w:rPr>
          <w:rFonts w:ascii="Times" w:cs="Times" w:eastAsia="Times" w:hAnsi="Times"/>
          <w:sz w:val="24"/>
          <w:szCs w:val="24"/>
        </w:rPr>
      </w:pPr>
      <w:r w:rsidDel="00000000" w:rsidR="00000000" w:rsidRPr="00000000">
        <w:rPr>
          <w:rFonts w:ascii="Times New Roman" w:cs="Times New Roman" w:eastAsia="Times New Roman" w:hAnsi="Times New Roman"/>
          <w:color w:val="222222"/>
          <w:sz w:val="20"/>
          <w:szCs w:val="20"/>
          <w:highlight w:val="white"/>
          <w:rtl w:val="0"/>
        </w:rPr>
        <w:t xml:space="preserve">The employees were given autonomy and were paid for this service, so this person, who was dedicated to a company, did the work of enhancing the value of the products so that they would be better appreciated by local buyers. But then there was an adaptation in the end of communication that made a difference for these people. It was more efficient and effective for other things. For example, for those who had products related to fashion, such as leather and leather goods, they physically created the products and set up a small physical fair, even with the restrictions we know well, but the physical fair is always better perceived than the digital one. (Focus group, Chamber of Commerce managers)</w:t>
      </w:r>
      <w:r w:rsidDel="00000000" w:rsidR="00000000" w:rsidRPr="00000000">
        <w:rPr>
          <w:rtl w:val="0"/>
        </w:rPr>
      </w:r>
    </w:p>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In the context of international business, providing training to employees who work with international partners is a crucial aspect to improve communication effectiveness. Such training can encompass various elements, such as language training, cultural awareness training, and training on communication best practices. Language training can help employees communicate more effectively in the local language, reducing the chances of misunderstandings and miscommunications. Cultural awareness training can help employees understand the local culture and business practices, which can improve the effectiveness of communication and build stronger relationships with international partners. Training on communication best practices can help employees develop effective communication strategies that are tailored to the cultural and linguistic context of their international partners.</w:t>
      </w:r>
    </w:p>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In addition to training, building relationships with international partners is also a critical factor in effective communication. Developing strong relationships with international partners involves taking the time to get to know them, their culture, and their priorities. This can help build trust and foster a better understanding of each other's needs and expectations. Furthermore, developing relationships with international partners can help businesses adapt to the local market, improve business outcomes, and create long-term partnerships. Technology can help facilitate communication between international partners. Tools like video conferencing, instant messaging, and email can help you stay in touch with partners in real-time, allowing for more efficient communication.</w:t>
      </w:r>
      <w:r w:rsidDel="00000000" w:rsidR="00000000" w:rsidRPr="00000000">
        <w:rPr>
          <w:rtl w:val="0"/>
        </w:rPr>
      </w:r>
    </w:p>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4.2.2. Perceived credibility</w:t>
      </w:r>
    </w:p>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The act of sensemaking, and consequently the interpretation of situations and creations, is influenced by perceived credibility. Perceived credibility refers to the extent to which a source of information is considered trustworthy and dependable. This process of sensemaking involves individuals imposing their beliefs and understandings onto the world, which can be informed by the perceived credibility of the information sources. Therefore, sensemaking may be understood as an act of invention that is informed by perceived credibility, with interpretation serving as a means of discovery. This reflexive quality of sensemaking highlights the importance of perceived credibility in shaping the creation of reality through interpretation. (Weick, 2012).</w:t>
      </w:r>
      <w:r w:rsidDel="00000000" w:rsidR="00000000" w:rsidRPr="00000000">
        <w:rPr>
          <w:rtl w:val="0"/>
        </w:rPr>
      </w:r>
    </w:p>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200" w:before="200" w:line="240" w:lineRule="auto"/>
        <w:ind w:left="720" w:right="0" w:firstLine="0"/>
        <w:jc w:val="both"/>
        <w:rPr>
          <w:rFonts w:ascii="Times New Roman" w:cs="Times New Roman" w:eastAsia="Times New Roman" w:hAnsi="Times New Roman"/>
          <w:color w:val="222222"/>
          <w:sz w:val="20"/>
          <w:szCs w:val="20"/>
          <w:highlight w:val="white"/>
        </w:rPr>
      </w:pPr>
      <w:r w:rsidDel="00000000" w:rsidR="00000000" w:rsidRPr="00000000">
        <w:rPr>
          <w:rFonts w:ascii="Times New Roman" w:cs="Times New Roman" w:eastAsia="Times New Roman" w:hAnsi="Times New Roman"/>
          <w:color w:val="222222"/>
          <w:sz w:val="20"/>
          <w:szCs w:val="20"/>
          <w:highlight w:val="white"/>
          <w:rtl w:val="0"/>
        </w:rPr>
        <w:t xml:space="preserve">It has been a very complicated two years that have forced us to rethink many things, including the credibility through the use of social media. Despite being a useful tool, we are currently living in a moment of confusion where people cannot trust anything or anyone, even social media. As a result, offline advertising or billboards can be more powerful today than 15 years ago. To stand out on social media today, significant investments are required. There was a phase where the most skilled individuals exploited social media, but now everything is going back to how it was before. Currently, the same amount of investment made two years ago does not yield any results in our marketing agency. (Apparel and fashion, Export manager)</w:t>
      </w:r>
    </w:p>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It is not surprising that the sensemaking process depends on the retrospective interpretation of the situations that an individual finds themselves in. In the case of the export manager in the apparel and fashion industry, they are attempting to "rethink" after a complex period. Social media has become a valuable tool for B2B companies seeking to expand their international presence, as it offers an effective and low-cost means of reaching a global audience. Through social media platforms, companies can engage with potential customers in real-time, creating opportunities for immediate feedback and relationship building. Additionally, these platforms provide a range of tools and features that can help B2B companies establish their brand identity and establish themselves as credible players in their respective industries. However, the question of how to present credibility still remains. Social media may be perceived as less credible than other traditional sources of information, particularly in the B2B context where decision-making processes rely heavily on objective and verifiable data. Furthermore, language and cultural barriers can present challenges when considering international marketplaces. Therefore, effective use of social media for internationalization requires a deep understanding of local languages, cultures, and customs to avoid misinterpretation and miscommunication.</w:t>
      </w:r>
      <w:r w:rsidDel="00000000" w:rsidR="00000000" w:rsidRPr="00000000">
        <w:rPr>
          <w:rtl w:val="0"/>
        </w:rPr>
      </w:r>
    </w:p>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The implementation of an online marketing strategy, such as the utilization of social media, can be an overcrowded and highly competitive method, and distinguishing oneself from others in this context necessitates a substantial investment of time, effort, and resources. As articulated by a food producer:</w:t>
      </w:r>
      <w:r w:rsidDel="00000000" w:rsidR="00000000" w:rsidRPr="00000000">
        <w:rPr>
          <w:rtl w:val="0"/>
        </w:rPr>
      </w:r>
    </w:p>
    <w:p w:rsidR="00000000" w:rsidDel="00000000" w:rsidP="00000000" w:rsidRDefault="00000000" w:rsidRPr="00000000" w14:paraId="00000059">
      <w:pPr>
        <w:spacing w:after="200" w:before="200" w:lineRule="auto"/>
        <w:ind w:left="720" w:firstLine="0"/>
        <w:rPr>
          <w:rFonts w:ascii="Roboto" w:cs="Roboto" w:eastAsia="Roboto" w:hAnsi="Roboto"/>
          <w:color w:val="374151"/>
          <w:sz w:val="24"/>
          <w:szCs w:val="24"/>
        </w:rPr>
      </w:pPr>
      <w:r w:rsidDel="00000000" w:rsidR="00000000" w:rsidRPr="00000000">
        <w:rPr>
          <w:rFonts w:ascii="Times New Roman" w:cs="Times New Roman" w:eastAsia="Times New Roman" w:hAnsi="Times New Roman"/>
          <w:color w:val="222222"/>
          <w:sz w:val="20"/>
          <w:szCs w:val="20"/>
          <w:highlight w:val="white"/>
          <w:rtl w:val="0"/>
        </w:rPr>
        <w:t xml:space="preserve">Everyone who opens an online shop now thinks they've opened a store on 5th Avenue, but those who know understand that e-commerce is actually like opening a store in a skyscraper... and not even in Manhattan. (Food producer, CEO)</w:t>
      </w:r>
      <w:r w:rsidDel="00000000" w:rsidR="00000000" w:rsidRPr="00000000">
        <w:rPr>
          <w:rtl w:val="0"/>
        </w:rPr>
      </w:r>
    </w:p>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In this highly competitive environment, B2B companies can establish perceived credibility by maintaining a consistent voice and messaging across all social media platforms, which can foster trust and promote a strong brand identity. Sharing industry knowledge and insights can position B2B companies as thought leaders and experts in their respective fields, thereby increasing their perceived credibility. In addition, including endorsements, customer testimonials, and other forms of third-party validation can further enhance trust and establish credibility among potential customers. As social media users prioritize authenticity and transparency, B2B companies should prioritize open and honest communication in their messaging. To overcome language and cultural barriers, B2B companies should consider localizing their social media content to improve its relevance and accessibility to their target audience.</w:t>
      </w:r>
      <w:r w:rsidDel="00000000" w:rsidR="00000000" w:rsidRPr="00000000">
        <w:rPr>
          <w:rtl w:val="0"/>
        </w:rPr>
      </w:r>
    </w:p>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In the B2B context, perceived credibility refers to the extent to which a source of information is considered trustworthy and dependable. This encompasses both the credibility of the information itself and the credibility of the source providing it. Perceived credibility can be influenced by various factors, including the reputation and expertise of the source, as well as the consistency and accuracy of the information. Additionally, social factors, such as the opinions and recommendations of colleagues and industry peers, may also impact perceived credibility.</w:t>
      </w:r>
    </w:p>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0" w:line="240" w:lineRule="auto"/>
        <w:ind w:left="720" w:right="0" w:firstLine="0"/>
        <w:jc w:val="both"/>
        <w:rPr>
          <w:rFonts w:ascii="Times New Roman" w:cs="Times New Roman" w:eastAsia="Times New Roman" w:hAnsi="Times New Roman"/>
          <w:color w:val="222222"/>
          <w:sz w:val="20"/>
          <w:szCs w:val="20"/>
          <w:highlight w:val="white"/>
        </w:rPr>
      </w:pPr>
      <w:r w:rsidDel="00000000" w:rsidR="00000000" w:rsidRPr="00000000">
        <w:rPr>
          <w:rFonts w:ascii="Times New Roman" w:cs="Times New Roman" w:eastAsia="Times New Roman" w:hAnsi="Times New Roman"/>
          <w:color w:val="222222"/>
          <w:sz w:val="20"/>
          <w:szCs w:val="20"/>
          <w:highlight w:val="white"/>
          <w:rtl w:val="0"/>
        </w:rPr>
        <w:t xml:space="preserve">So we are saying that in regards to choosing areas, there are two main elements. On one hand, a more targeted approach in terms of final interlocutors. The person I am talking to must have characteristics that are more adherent to my model, because if I go to someone who "sells everything," I have few chances of success. Because that person may be interested in me today but tomorrow in another producer. Another aspect is the need for an ex ante choice based on different criteria. Obviously it is not just "let's go to China because it has a huge market, so it is economically attractive".</w:t>
      </w:r>
    </w:p>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200" w:before="0" w:line="240" w:lineRule="auto"/>
        <w:ind w:left="720" w:right="0" w:firstLine="0"/>
        <w:jc w:val="both"/>
        <w:rPr>
          <w:rFonts w:ascii="Times New Roman" w:cs="Times New Roman" w:eastAsia="Times New Roman" w:hAnsi="Times New Roman"/>
          <w:color w:val="222222"/>
          <w:sz w:val="20"/>
          <w:szCs w:val="20"/>
          <w:highlight w:val="white"/>
        </w:rPr>
      </w:pPr>
      <w:r w:rsidDel="00000000" w:rsidR="00000000" w:rsidRPr="00000000">
        <w:rPr>
          <w:rFonts w:ascii="Times New Roman" w:cs="Times New Roman" w:eastAsia="Times New Roman" w:hAnsi="Times New Roman"/>
          <w:color w:val="222222"/>
          <w:sz w:val="20"/>
          <w:szCs w:val="20"/>
          <w:highlight w:val="white"/>
          <w:rtl w:val="0"/>
        </w:rPr>
        <w:t xml:space="preserve">But we must select areas where entry and credibility of the area itself are facilitated. These can be regulatory, coherence, or production system criteria. It is useless for me to propose a product, maybe to someone who produces intermediate products. (Focus group, Chamber of Commerce managers)</w:t>
      </w:r>
    </w:p>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Given that B2B companies heavily rely on accurate and reliable information to make informed decisions, perceived credibility is a crucial factor in the process of sensemaking. These companies may take various measures to ensure the credibility of the information they use, such as conducting thorough research and seeking out reputable sources. They may also seek out multiple sources of information to cross-check and verify its accuracy.</w:t>
      </w:r>
    </w:p>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New Roman" w:cs="Times New Roman" w:eastAsia="Times New Roman" w:hAnsi="Times New Roman"/>
          <w:color w:val="222222"/>
          <w:sz w:val="18"/>
          <w:szCs w:val="18"/>
          <w:highlight w:val="white"/>
        </w:rPr>
      </w:pPr>
      <w:r w:rsidDel="00000000" w:rsidR="00000000" w:rsidRPr="00000000">
        <w:rPr>
          <w:rFonts w:ascii="Times" w:cs="Times" w:eastAsia="Times" w:hAnsi="Times"/>
          <w:sz w:val="24"/>
          <w:szCs w:val="24"/>
          <w:rtl w:val="0"/>
        </w:rPr>
        <w:t xml:space="preserve">4.2.3. Joint enthusiasm</w:t>
      </w:r>
      <w:r w:rsidDel="00000000" w:rsidR="00000000" w:rsidRPr="00000000">
        <w:rPr>
          <w:rtl w:val="0"/>
        </w:rPr>
      </w:r>
    </w:p>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The sensemaking process in B2B companies' internationalization can be fostered through joint enthusiasm. This entails involving all relevant stakeholders in the decision-making process and creating a shared understanding of the organization's objectives, challenges, and opportunities in the international marketplace. </w:t>
      </w:r>
      <w:r w:rsidDel="00000000" w:rsidR="00000000" w:rsidRPr="00000000">
        <w:rPr>
          <w:rFonts w:ascii="Times" w:cs="Times" w:eastAsia="Times" w:hAnsi="Times"/>
          <w:sz w:val="24"/>
          <w:szCs w:val="24"/>
          <w:rtl w:val="0"/>
        </w:rPr>
        <w:t xml:space="preserve">According to Feldman's (1989) perspective, sensemaking is an interpretive process that is indispensable for organizational members to comprehend and exchange understandings regarding various aspects of the organization, such as its purpose, strengths and weaknesses, challenges encountered, and the appropriate solutions to tackle them. </w:t>
      </w:r>
      <w:r w:rsidDel="00000000" w:rsidR="00000000" w:rsidRPr="00000000">
        <w:rPr>
          <w:rtl w:val="0"/>
        </w:rPr>
      </w:r>
    </w:p>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0" w:line="240" w:lineRule="auto"/>
        <w:ind w:left="720" w:right="0" w:firstLine="0"/>
        <w:jc w:val="both"/>
        <w:rPr>
          <w:rFonts w:ascii="Times New Roman" w:cs="Times New Roman" w:eastAsia="Times New Roman" w:hAnsi="Times New Roman"/>
          <w:color w:val="222222"/>
          <w:sz w:val="20"/>
          <w:szCs w:val="20"/>
          <w:highlight w:val="white"/>
        </w:rPr>
      </w:pPr>
      <w:r w:rsidDel="00000000" w:rsidR="00000000" w:rsidRPr="00000000">
        <w:rPr>
          <w:rFonts w:ascii="Times New Roman" w:cs="Times New Roman" w:eastAsia="Times New Roman" w:hAnsi="Times New Roman"/>
          <w:color w:val="222222"/>
          <w:sz w:val="20"/>
          <w:szCs w:val="20"/>
          <w:highlight w:val="white"/>
          <w:rtl w:val="0"/>
        </w:rPr>
        <w:t xml:space="preserve">Certainly, there is a difference in channels, but there has been a golden age of trade shows that seems to have ended. To tell the truth, it seemed to have ended many years ago, with internationalisation. Since everything is available at the click of a button, there is no longer a "wow" effect. You go to a fair and already know everything, then at the fair you're tired, standing all day. We believe that trade shows can continue to be interesting for advertising in terms of brand exposure, or to try to capture those who have difficulty reaching our website.</w:t>
      </w:r>
    </w:p>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200" w:before="0" w:line="240" w:lineRule="auto"/>
        <w:ind w:left="720" w:right="0" w:firstLine="0"/>
        <w:jc w:val="both"/>
        <w:rPr>
          <w:rFonts w:ascii="Times New Roman" w:cs="Times New Roman" w:eastAsia="Times New Roman" w:hAnsi="Times New Roman"/>
          <w:color w:val="222222"/>
          <w:sz w:val="20"/>
          <w:szCs w:val="20"/>
          <w:highlight w:val="white"/>
        </w:rPr>
      </w:pPr>
      <w:r w:rsidDel="00000000" w:rsidR="00000000" w:rsidRPr="00000000">
        <w:rPr>
          <w:rFonts w:ascii="Times New Roman" w:cs="Times New Roman" w:eastAsia="Times New Roman" w:hAnsi="Times New Roman"/>
          <w:color w:val="222222"/>
          <w:sz w:val="20"/>
          <w:szCs w:val="20"/>
          <w:highlight w:val="white"/>
          <w:rtl w:val="0"/>
        </w:rPr>
        <w:t xml:space="preserve">One positive aspect of the fair is that it allows smaller companies like us to benefit from the visibility of larger brands. Because it attracts many “tourists” and interested people. It created a space where we get together because of the same enthusiasm. I do a rather particular job, a wine producer. Without taking anything away from the wine sector, which is wonderful, let's say that if you're looking for a certain wine and don't find it, and you take another one, taste it and like it, then okay, search over. But this doesn't apply to chamomile tea, which is a niche. Chamomile is a product that if you don't start with the idea of specifically looking for it, you won't "stumble upon it". The audience we target is not huge, also because when I think of the stars of the sector, I always think of those more geared towards B2B. (Packaging, COO)</w:t>
      </w:r>
    </w:p>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In this example, for both products for a niche market or those not are considered as a bridge, linking B2B companies with local distributors and customers through joint enthusiasm, which involves collaborating with stakeholders to create a shared sense of purpose and drive for internationalization. To establish this collaboration, B2B companies should seek to understand the needs and expectations of local distributors and customers by engaging in open and transparent communication. B2B companies should leverage joint enthusiasm to promote their internationalization efforts by highlighting the benefits of working with the company, such as access to high-quality products and services, competitive pricing, and reliable customer support. By emphasizing these advantages, B2B companies can differentiate themselves from competitors and create a compelling value proposition for local distributors and customers.</w:t>
      </w:r>
    </w:p>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Moreover, B2B companies should seek to establish long-term partnerships with local distributors and customers by investing in the relationship and demonstrating a commitment to mutual success. This can involve providing training and support to distributors, offering customized solutions to meet customers' unique needs, and engaging in regular communication to ensure that expectations are aligned.</w:t>
      </w:r>
    </w:p>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New Roman" w:cs="Times New Roman" w:eastAsia="Times New Roman" w:hAnsi="Times New Roman"/>
          <w:color w:val="222222"/>
          <w:sz w:val="20"/>
          <w:szCs w:val="20"/>
          <w:highlight w:val="white"/>
        </w:rPr>
      </w:pPr>
      <w:r w:rsidDel="00000000" w:rsidR="00000000" w:rsidRPr="00000000">
        <w:rPr>
          <w:rFonts w:ascii="Times" w:cs="Times" w:eastAsia="Times" w:hAnsi="Times"/>
          <w:sz w:val="24"/>
          <w:szCs w:val="24"/>
          <w:rtl w:val="0"/>
        </w:rPr>
        <w:t xml:space="preserve">Finally, B2B companies can promote their internationalization efforts by leveraging joint enthusiasm to create a sense of excitement and momentum around the expansion initiative. This can involve celebrating milestones, recognizing key contributors, and communicating progress updates to stakeholders. By building a culture of enthusiasm and momentum, B2B companies can create a positive and engaging environment that inspires and motivates all stakeholders to work together towards a common goal.</w:t>
      </w:r>
      <w:r w:rsidDel="00000000" w:rsidR="00000000" w:rsidRPr="00000000">
        <w:rPr>
          <w:rtl w:val="0"/>
        </w:rPr>
      </w:r>
    </w:p>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200" w:before="200" w:line="240" w:lineRule="auto"/>
        <w:ind w:left="0" w:right="0" w:firstLine="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5.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Discussion </w:t>
      </w:r>
      <w:r w:rsidDel="00000000" w:rsidR="00000000" w:rsidRPr="00000000">
        <w:rPr>
          <w:rtl w:val="0"/>
        </w:rPr>
      </w:r>
    </w:p>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   Weick presents seven properties of sensemaking that show how individuals “concerned with identity in the context of others engage ongoing events from which they extract cues and make plausible sense retrospectively” (Weick, 1995). These seven properties of sensemaking are: grounded in identity construction, retrospective, enactive of sensible environments, social, ongoing, focused on and by extracted cues, and the finally, driven by plausibity rather than accuracy. </w:t>
      </w:r>
      <w:r w:rsidDel="00000000" w:rsidR="00000000" w:rsidRPr="00000000">
        <w:rPr>
          <w:rFonts w:ascii="Times" w:cs="Times" w:eastAsia="Times" w:hAnsi="Times"/>
          <w:sz w:val="24"/>
          <w:szCs w:val="24"/>
          <w:rtl w:val="0"/>
        </w:rPr>
        <w:t xml:space="preserve">As described in the definition of sensemaking, the seven properties represent a synthesis of how individuals gather cues from their environment and, through a cognitive process, develop an impression of their surroundings. This impression may extend beyond the factual information available, particularly if cognitive biases, errors, or distortions influence the sensemaking process. These properties can be categorized into two paths for interpretation: the action-driven central path and belief-driven peripheral path, which can corresponding to the ELM.</w:t>
      </w:r>
    </w:p>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Forthmore, the seven components of individual sensemaking process in B2B companies’ internationalisation can be attributed to the aforementioned seven properties of sensemaking, as presented in table 2.</w:t>
      </w:r>
    </w:p>
    <w:p w:rsidR="00000000" w:rsidDel="00000000" w:rsidP="00000000" w:rsidRDefault="00000000" w:rsidRPr="00000000" w14:paraId="00000069">
      <w:pPr>
        <w:ind w:firstLine="480"/>
        <w:rPr>
          <w:rFonts w:ascii="Times" w:cs="Times" w:eastAsia="Times" w:hAnsi="Times"/>
          <w:sz w:val="24"/>
          <w:szCs w:val="24"/>
        </w:rPr>
      </w:pPr>
      <w:r w:rsidDel="00000000" w:rsidR="00000000" w:rsidRPr="00000000">
        <w:rPr>
          <w:rFonts w:ascii="Times" w:cs="Times" w:eastAsia="Times" w:hAnsi="Times"/>
          <w:sz w:val="24"/>
          <w:szCs w:val="24"/>
          <w:rtl w:val="0"/>
        </w:rPr>
        <w:t xml:space="preserve">Moscovini (1980) distinguished between two types of acceptance in sensemaking, resulting from an influence attempt: compliance, which pertains to public acceptance but not private acceptance; and conversion, which pertains to private acceptance without public acknowledgment. He also proposed that majorities primarily rely on compliance to exert influence, while minorities mainly rely on conversion. He also proposed this binary relationship by comparing majority and minority. Similar to the cognitive function of information processing procedure in ELM, majorities focus on the source where massage is received passively with little information processing (it is equivalent to the action-driven central path). Meanwhile if the information is expressed by minority, the receivers are more likely to process the information actively and to focus on the “reality”, in which cognition is vividly getting involved. The receivers try to figure out how that insistent minority could advocate such a position (it is equivalent to the belief-driven partphrial path). Majorities tend to concentrate on the viewpoints they suggest, while minorities prompt greater consideration of alternative options, many of which may not have been previously proposed (Kerr and Tindale, 2004) . It is presumed that when individuals are exposed to opposing minority perspectives, they exert more cognitive effort and attend to more aspects of the situation, which leads to the generation of more diverse ideas and innovative solutions for programs and decisions. In contrast, those exposed to the majority tend to focus on stimuli related to the majority position, exhibit more convergent thinking, and are less attuned to novel perspectives (Nemeth, 1986).</w:t>
      </w:r>
    </w:p>
    <w:p w:rsidR="00000000" w:rsidDel="00000000" w:rsidP="00000000" w:rsidRDefault="00000000" w:rsidRPr="00000000" w14:paraId="0000006A">
      <w:pPr>
        <w:ind w:firstLine="480"/>
        <w:rPr>
          <w:rFonts w:ascii="Times" w:cs="Times" w:eastAsia="Times" w:hAnsi="Times"/>
          <w:sz w:val="24"/>
          <w:szCs w:val="24"/>
        </w:rPr>
      </w:pPr>
      <w:r w:rsidDel="00000000" w:rsidR="00000000" w:rsidRPr="00000000">
        <w:rPr>
          <w:rtl w:val="0"/>
        </w:rPr>
      </w:r>
    </w:p>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w:cs="Times" w:eastAsia="Times" w:hAnsi="Times"/>
          <w:sz w:val="24"/>
          <w:szCs w:val="24"/>
        </w:rPr>
      </w:pPr>
      <w:r w:rsidDel="00000000" w:rsidR="00000000" w:rsidRPr="00000000">
        <w:rPr>
          <w:rFonts w:ascii="Times" w:cs="Times" w:eastAsia="Times" w:hAnsi="Times"/>
          <w:sz w:val="24"/>
          <w:szCs w:val="24"/>
        </w:rPr>
        <w:drawing>
          <wp:inline distB="114300" distT="114300" distL="114300" distR="114300">
            <wp:extent cx="5972175" cy="3173730"/>
            <wp:effectExtent b="0" l="0" r="0" t="0"/>
            <wp:docPr id="4" name="image1.jpg"/>
            <a:graphic>
              <a:graphicData uri="http://schemas.openxmlformats.org/drawingml/2006/picture">
                <pic:pic>
                  <pic:nvPicPr>
                    <pic:cNvPr id="0" name="image1.jpg"/>
                    <pic:cNvPicPr preferRelativeResize="0"/>
                  </pic:nvPicPr>
                  <pic:blipFill>
                    <a:blip r:embed="rId14"/>
                    <a:srcRect b="25767" l="12635" r="12815" t="3964"/>
                    <a:stretch>
                      <a:fillRect/>
                    </a:stretch>
                  </pic:blipFill>
                  <pic:spPr>
                    <a:xfrm>
                      <a:off x="0" y="0"/>
                      <a:ext cx="5972175" cy="3173730"/>
                    </a:xfrm>
                    <a:prstGeom prst="rect"/>
                    <a:ln/>
                  </pic:spPr>
                </pic:pic>
              </a:graphicData>
            </a:graphic>
          </wp:inline>
        </w:drawing>
      </w:r>
      <w:r w:rsidDel="00000000" w:rsidR="00000000" w:rsidRPr="00000000">
        <w:rPr>
          <w:rtl w:val="0"/>
        </w:rPr>
      </w:r>
    </w:p>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tl w:val="0"/>
        </w:rPr>
      </w:r>
    </w:p>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Contingency theory illustrates that there is no single best way to manage an organization, and the most effective management style depends on the specific situation. It maintains that organizational performance depends on the proper alignment among three sets of variables: environment, strategy, and factors of organization design. In essence, the strategy must align with factors of organization design, and both sets of internal factors must be designed to “fit” conditions in the external environment. Under the study of individual sensemaking in B2B companies’ internationalisation, </w:t>
      </w:r>
      <w:r w:rsidDel="00000000" w:rsidR="00000000" w:rsidRPr="00000000">
        <w:rPr>
          <w:rFonts w:ascii="Times" w:cs="Times" w:eastAsia="Times" w:hAnsi="Times"/>
          <w:i w:val="1"/>
          <w:sz w:val="24"/>
          <w:szCs w:val="24"/>
          <w:rtl w:val="0"/>
        </w:rPr>
        <w:t xml:space="preserve">confirmation post-revising</w:t>
      </w:r>
      <w:r w:rsidDel="00000000" w:rsidR="00000000" w:rsidRPr="00000000">
        <w:rPr>
          <w:rFonts w:ascii="Times" w:cs="Times" w:eastAsia="Times" w:hAnsi="Times"/>
          <w:sz w:val="24"/>
          <w:szCs w:val="24"/>
          <w:rtl w:val="0"/>
        </w:rPr>
        <w:t xml:space="preserve"> helps sensemaking individuals revise retrospectivly. Behavioral confirmation is more likely to manifest during the acquisition of social knowledge. At the core of a functional analysis lies the assumption that the general interaction sequence is beneficial. The process of gaining familiarity with others can be described in several ways, including a desire to comprehend their motives, intentions, and dispositions, an attempt to master the causal structure of the environment, or an endeavor to establish a stable, predictable, and controllable world. Behavioral confirmation serves to foster a perception of a stable and foreseeable social world where individuals act according to expectations (Snyder, 1992, p. 75). In contrast, getting along involves being responsive and adaptable to others, promoting smooth interaction and securing acceptance and approval. </w:t>
      </w:r>
    </w:p>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Stimuli-Organism-Reflection (SOR) framework suggests that individuals react to environmental stimuli at cognitive and affective levels. In responding to the external stimuli brought by risks in current global marketplace, the description of a particular environment can inspire observers, creating an image of an environment similar to the situation as described, and then initiating collective actions to induce event participants to learn and follow. Emphasizing and repeating the impact of a crisis may disrupt the normal development of a B2B company by damaging employee morale and productivity and increasing the difficulty of management and communication. </w:t>
      </w:r>
      <w:r w:rsidDel="00000000" w:rsidR="00000000" w:rsidRPr="00000000">
        <w:rPr>
          <w:rFonts w:ascii="Times" w:cs="Times" w:eastAsia="Times" w:hAnsi="Times"/>
          <w:i w:val="1"/>
          <w:sz w:val="24"/>
          <w:szCs w:val="24"/>
          <w:rtl w:val="0"/>
        </w:rPr>
        <w:t xml:space="preserve">Risk readiness</w:t>
      </w:r>
      <w:r w:rsidDel="00000000" w:rsidR="00000000" w:rsidRPr="00000000">
        <w:rPr>
          <w:rFonts w:ascii="Times" w:cs="Times" w:eastAsia="Times" w:hAnsi="Times"/>
          <w:sz w:val="24"/>
          <w:szCs w:val="24"/>
          <w:rtl w:val="0"/>
        </w:rPr>
        <w:t xml:space="preserve"> not only conveys that risks have been evaluated and appropriate responses are in place but also signals a positive message to boost employee morale and increase organizational resilience. Although a major emphasis has been to identify organizational designs that promote effectiveness in different types of environments, the organization-environment fit has also been used to explore the appropriate design, effectiveness, and influence of parts of organizations - divisions, business units, functional departments, and work teams (Van de Ven et al., 1984). In an ever changing global marketplace that covers with uncertainty and risks, B2B companies with the aim of developing their internationalisation process must find a way to navigate them. </w:t>
      </w:r>
      <w:r w:rsidDel="00000000" w:rsidR="00000000" w:rsidRPr="00000000">
        <w:rPr>
          <w:rtl w:val="0"/>
        </w:rPr>
      </w:r>
    </w:p>
    <w:p w:rsidR="00000000" w:rsidDel="00000000" w:rsidP="00000000" w:rsidRDefault="00000000" w:rsidRPr="00000000" w14:paraId="0000006F">
      <w:pPr>
        <w:ind w:firstLine="480"/>
        <w:rPr>
          <w:rFonts w:ascii="Times" w:cs="Times" w:eastAsia="Times" w:hAnsi="Times"/>
          <w:sz w:val="24"/>
          <w:szCs w:val="24"/>
        </w:rPr>
      </w:pPr>
      <w:r w:rsidDel="00000000" w:rsidR="00000000" w:rsidRPr="00000000">
        <w:rPr>
          <w:rFonts w:ascii="Times" w:cs="Times" w:eastAsia="Times" w:hAnsi="Times"/>
          <w:sz w:val="24"/>
          <w:szCs w:val="24"/>
          <w:rtl w:val="0"/>
        </w:rPr>
        <w:t xml:space="preserve">Under this context, we argue that </w:t>
      </w:r>
      <w:r w:rsidDel="00000000" w:rsidR="00000000" w:rsidRPr="00000000">
        <w:rPr>
          <w:rFonts w:ascii="Times" w:cs="Times" w:eastAsia="Times" w:hAnsi="Times"/>
          <w:i w:val="1"/>
          <w:sz w:val="24"/>
          <w:szCs w:val="24"/>
          <w:rtl w:val="0"/>
        </w:rPr>
        <w:t xml:space="preserve">value consistency</w:t>
      </w:r>
      <w:r w:rsidDel="00000000" w:rsidR="00000000" w:rsidRPr="00000000">
        <w:rPr>
          <w:rFonts w:ascii="Times" w:cs="Times" w:eastAsia="Times" w:hAnsi="Times"/>
          <w:sz w:val="24"/>
          <w:szCs w:val="24"/>
          <w:rtl w:val="0"/>
        </w:rPr>
        <w:t xml:space="preserve"> as one component in sensemaking can be attributed to the property that sensemaking is grounded in identity construction which means individuals value a lot that they are positively perceived. Individual locates themselves by comparing their value and celibrates it to find if the consistency is aligned. Sensemaking is a unique topic that draws upon both deductive reasoning from established theories and inductive reasoning from specific instances where ambiguity needs to be reduced. This provides a significant advantage to investigators as there is a foundational set of principles that unifies this approach and has remained consistent over time. It is important to note that sensemaking involves not just one individual acting as a sense maker, but rather a collective effort involving what Mead (1934) called "a parliament of selves." </w:t>
      </w:r>
    </w:p>
    <w:p w:rsidR="00000000" w:rsidDel="00000000" w:rsidP="00000000" w:rsidRDefault="00000000" w:rsidRPr="00000000" w14:paraId="00000070">
      <w:pPr>
        <w:ind w:firstLine="480"/>
        <w:rPr>
          <w:rFonts w:ascii="Times" w:cs="Times" w:eastAsia="Times" w:hAnsi="Times"/>
          <w:sz w:val="24"/>
          <w:szCs w:val="24"/>
        </w:rPr>
      </w:pPr>
      <w:r w:rsidDel="00000000" w:rsidR="00000000" w:rsidRPr="00000000">
        <w:rPr>
          <w:rFonts w:ascii="Times" w:cs="Times" w:eastAsia="Times" w:hAnsi="Times"/>
          <w:sz w:val="24"/>
          <w:szCs w:val="24"/>
          <w:rtl w:val="0"/>
        </w:rPr>
        <w:t xml:space="preserve">Value consistency can be strongly related to </w:t>
      </w:r>
      <w:r w:rsidDel="00000000" w:rsidR="00000000" w:rsidRPr="00000000">
        <w:rPr>
          <w:rFonts w:ascii="Times" w:cs="Times" w:eastAsia="Times" w:hAnsi="Times"/>
          <w:i w:val="1"/>
          <w:sz w:val="24"/>
          <w:szCs w:val="24"/>
          <w:rtl w:val="0"/>
        </w:rPr>
        <w:t xml:space="preserve">perceived credibility</w:t>
      </w:r>
      <w:r w:rsidDel="00000000" w:rsidR="00000000" w:rsidRPr="00000000">
        <w:rPr>
          <w:rFonts w:ascii="Times" w:cs="Times" w:eastAsia="Times" w:hAnsi="Times"/>
          <w:sz w:val="24"/>
          <w:szCs w:val="24"/>
          <w:rtl w:val="0"/>
        </w:rPr>
        <w:t xml:space="preserve">, considering social cues as the linkage. </w:t>
      </w:r>
      <w:r w:rsidDel="00000000" w:rsidR="00000000" w:rsidRPr="00000000">
        <w:rPr>
          <w:rFonts w:ascii="Times" w:cs="Times" w:eastAsia="Times" w:hAnsi="Times"/>
          <w:sz w:val="24"/>
          <w:szCs w:val="24"/>
          <w:rtl w:val="0"/>
        </w:rPr>
        <w:t xml:space="preserve">Environmental psychology believes that the behaviour of individuals and their environment interact with each other. Social cues are verbal or non-verbal signals expressed through the face, body, voice, and motion and guide conversations as well as other social interactions by influencing our impressions of and responses to others (Adams, 2017). The ability to decode social cues helps us to understand other people's mental states and make forecasts about their behaviour. Especially in the view of evolution, this ability is critical to determine potential threats or advantageous opportunities. Sensemaking is about the enlargement of small cues. It is a search for contexts within which small details fit together and makes sense (Weick, 1995). The joint influence of expectations and interruptions suggests that sensemaking will be more or less of an issue in organizations, depending on the adequacy of the scripts, routines, and recipes already in place. It is crucial to note that meaning is assigned to surprise as an output of the sense-making process, rather than arising concurrently with the perception or detection of differences” (Louis, 1980). The activity of placing stimuli into frameworks is most visible when predictions break down.</w:t>
      </w:r>
      <w:r w:rsidDel="00000000" w:rsidR="00000000" w:rsidRPr="00000000">
        <w:rPr>
          <w:rtl w:val="0"/>
        </w:rPr>
      </w:r>
    </w:p>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Both the stimuli and the predictions enact in a certain sensible environment to build the sensemaking process. For B2B companies who actively search opportunities to enhance their interntionalisation process, </w:t>
      </w:r>
      <w:r w:rsidDel="00000000" w:rsidR="00000000" w:rsidRPr="00000000">
        <w:rPr>
          <w:rFonts w:ascii="Times" w:cs="Times" w:eastAsia="Times" w:hAnsi="Times"/>
          <w:i w:val="1"/>
          <w:sz w:val="24"/>
          <w:szCs w:val="24"/>
          <w:rtl w:val="0"/>
        </w:rPr>
        <w:t xml:space="preserve">networking conceptualization</w:t>
      </w:r>
      <w:r w:rsidDel="00000000" w:rsidR="00000000" w:rsidRPr="00000000">
        <w:rPr>
          <w:rFonts w:ascii="Times" w:cs="Times" w:eastAsia="Times" w:hAnsi="Times"/>
          <w:sz w:val="24"/>
          <w:szCs w:val="24"/>
          <w:rtl w:val="0"/>
        </w:rPr>
        <w:t xml:space="preserve"> that relates to the enactment of sensible environment. Individuals construct mental models of how stimuli fit together. And such models of stimuli could generate expectations. In the context of heavily networked organizations, the dense connections within the network may pose an unforeseen disadvantage, leading to the proliferation of the fallacy of centrality (Westrum, 1982). Moreover, perceptions of information technology may impair its ability to facilitate sensemaking. The overreliance on advanced technology may lead individuals to disregard any information that does not pass through it. The fallacy of centrality may also hinder the sensitivity of an information system to novel events, thereby reducing its efficacy, despite its advanced technological features.</w:t>
      </w:r>
    </w:p>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The role of expectations in sensemaking is crucial because they can be self-correcting (Fussell, 1991). When events deviate from expectations, both the expectation and the event can be adjusted (Rothbaum et al., 1982). Comparing an event with an expectation brings focus to noticing, regardless of whether the event has been deflected or not. Cues that do not fit stand out, and explanations constructed to explain these discrepancies contribute to the interpretation of the situation. </w:t>
      </w:r>
      <w:r w:rsidDel="00000000" w:rsidR="00000000" w:rsidRPr="00000000">
        <w:rPr>
          <w:rFonts w:ascii="Times" w:cs="Times" w:eastAsia="Times" w:hAnsi="Times"/>
          <w:sz w:val="24"/>
          <w:szCs w:val="24"/>
          <w:rtl w:val="0"/>
        </w:rPr>
        <w:t xml:space="preserve">Continuous communication serves as a sense-making process in the internationalization of B2B companies, and verbal cues play an essential role in this process. Verbal cues, such as tone of voice, language, and phrasing, convey critical information about the speaker's attitudes, emotions, and intentions, which can influence how the message is received and interpreted. In the context of internationalization, continuous communication through various channels, such as emails, video conferences, and phone calls, helps to build trust and establish strong relationships with business partners in the target market. Effective verbal cues in communication can facilitate a deeper understanding of cultural differences, increase empathy, and promote mutual learning, which are essential for successful internationalization efforts. Therefore, B2B companies should pay close attention to the verbal cues used in their communication to ensure that their messages are accurately conveyed and received by their business partners.</w:t>
      </w:r>
      <w:r w:rsidDel="00000000" w:rsidR="00000000" w:rsidRPr="00000000">
        <w:rPr>
          <w:rtl w:val="0"/>
        </w:rPr>
      </w:r>
    </w:p>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Self-fulfilling prophecies are a crucial process of sensemaking. Prophecies, hypotheses, and anticipations - regardless of what they are called - serve as starting points. They form minimal structures around which input can be organized as the result of some kind of active prodding. Self-fulfilling prophecies occur when individuals' beliefs or expectations influence their behavior, which, in turn, leads to the fulfillment of those beliefs or expectations. In the context of internationalization, negative self-fulfilling prophecies, such as a belief that the company will encounter many obstacles in the target market, can lead to a lack of enthusiasm and motivation, which can ultimately lead to failure. </w:t>
      </w:r>
      <w:r w:rsidDel="00000000" w:rsidR="00000000" w:rsidRPr="00000000">
        <w:rPr>
          <w:rFonts w:ascii="Times" w:cs="Times" w:eastAsia="Times" w:hAnsi="Times"/>
          <w:i w:val="1"/>
          <w:sz w:val="24"/>
          <w:szCs w:val="24"/>
          <w:rtl w:val="0"/>
        </w:rPr>
        <w:t xml:space="preserve">Joint enthusiasm</w:t>
      </w:r>
      <w:r w:rsidDel="00000000" w:rsidR="00000000" w:rsidRPr="00000000">
        <w:rPr>
          <w:rFonts w:ascii="Times" w:cs="Times" w:eastAsia="Times" w:hAnsi="Times"/>
          <w:sz w:val="24"/>
          <w:szCs w:val="24"/>
          <w:rtl w:val="0"/>
        </w:rPr>
        <w:t xml:space="preserve">, on the other hand, refers to the shared excitement and passion for a particular goal or project. In the context of internationalization, joint enthusiasm can motivate individuals within the company and their business partners to work collaboratively towards a common goal, leading to greater success and positive outcomes. Therefore, by promoting joint enthusiasm and a positive attitude towards internationalization efforts, B2B companies can counteract negative self-fulfilling prophecies and increase the likelihood of success. By fostering a culture of joint enthusiasm and optimism, B2B companies can promote a sense of collective responsibility and commitment, leading to stronger relationships with their business partners and increased opportunities for success in the target market.</w:t>
      </w:r>
    </w:p>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sz w:val="24"/>
          <w:szCs w:val="24"/>
          <w:rtl w:val="0"/>
        </w:rPr>
        <w:t xml:space="preserve">6. Conclusion </w:t>
      </w:r>
      <w:r w:rsidDel="00000000" w:rsidR="00000000" w:rsidRPr="00000000">
        <w:rPr>
          <w:rtl w:val="0"/>
        </w:rPr>
      </w:r>
    </w:p>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This chapter makes several contributions to understanding how sensemaking individuals in B2B companies conduct their internationalisation process, especially during a risky period. As the article has been primarily conceptual, the discussion emphasizes the managerial implications of its findings.</w:t>
      </w:r>
      <w:r w:rsidDel="00000000" w:rsidR="00000000" w:rsidRPr="00000000">
        <w:rPr>
          <w:rtl w:val="0"/>
        </w:rPr>
      </w:r>
    </w:p>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6.1. </w:t>
      </w:r>
      <w:r w:rsidDel="00000000" w:rsidR="00000000" w:rsidRPr="00000000">
        <w:rPr>
          <w:rFonts w:ascii="Times" w:cs="Times" w:eastAsia="Times" w:hAnsi="Times"/>
          <w:sz w:val="24"/>
          <w:szCs w:val="24"/>
          <w:rtl w:val="0"/>
        </w:rPr>
        <w:t xml:space="preserve">Theoretical implications</w:t>
      </w:r>
    </w:p>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The chapter proposes a framework model (Fig. 1) for the emergence of both action-driven central path and belief-driven peripheral path of individual sensemaking process in B2B companies’ internationalisation. This framework provides a comprehensive tool for framing the complexity of the individual sensemaking process by articulating the sensemaking process into two paths considering different drivers. To our knowledge, it is the first attempt to find the theoretical linkage between Eliboration Likelihood Model and sensemaking process. After the proposal and the test, the hypothesis of applying ELM’s central path and peripheral path of interpreting and understanding individual sensemking process is valid, with the emergence of seven components corresponding perfectly to the action and belief drivers. </w:t>
      </w:r>
    </w:p>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Following that, this chapter also discusses the role and relevance of the seven components that can be attributed to the sensemaking properties proposed by Weick (1995). </w:t>
      </w:r>
    </w:p>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Risk readiness emphasizes the importance of establishing normative and comprehensive organizational behaviors while also fostering positive and optimistic organizational emotions. The concept of "readiness" is used to convey a resilient attitude in the face of crises and uncertain international markets, and to establish a positive sensemaking system. In contrast to the actual construction of a relational network, the network conceptualization emphasizes the macro and abstract perspective of sensemaking construction in international networks, with the aim of fully mobilizing and coordinating resources. The use of international organizational relationships takes into account the active roles of economic and non-economic actors.</w:t>
      </w:r>
    </w:p>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Conformation post-revising emphasizes the continuous retrospective thinking process in individual sensemaking construction. Individuals find unconventional signals by “fitting” constantly in the business environment to fully understand the organization and fix the sensemaking construction process to better meet the requirements of organizational development. Value consistency is achieved through “the positioning of oneself by others”, and sensemaking construction is rooted in identity construction. Identity construction is not just about an individual, but also about the coordination and unity within the organization. The continuity of communication and perceived credibility, as expressed and unexpressed social cues, establish communication channels in sensemaking construction. Joint enthusiasm and self-fulfilling prophecies interact and mutually reinforce each other, driving the development of the meaning construction model in a wheel-like motion.</w:t>
      </w:r>
    </w:p>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6.2. Managerial implications</w:t>
      </w:r>
    </w:p>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The study provides valuable insights for B2B companies sensemaking process which internationalising, especially under crisis, which plays an active role in a micro level of international business. It highlights the importance of consciously developing individual sensemaking capability. The development of these capabilities is a long-term process that involves several key aspects:</w:t>
      </w:r>
    </w:p>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Despite the best efforts of companies to mitigate the unpredictability of international business, crises can manifest themselves unexpectedly, resulting in unforeseen challenges that test the resilience of organizations. Therefore, in addition to implementing effective organizational strategies, it is incumbent upon managers to proactively develop robust psychological defenses to confront and navigate these crises. Given that international business is composed of individuals, the process of meaning construction at an individual level differs in important ways from that of collective meaning construction. Hence, it is imperative to establish communication channels that are characterized by openness and equality, and that recognize and listen to the diverse voices of individuals. Moreover, by supporting and facilitating the individual meaning construction process from a practical standpoint, managers can enable their employees to develop a more nuanced understanding of their roles within the organization, and thus cultivate greater resilience in the face of crisis.</w:t>
      </w:r>
      <w:r w:rsidDel="00000000" w:rsidR="00000000" w:rsidRPr="00000000">
        <w:rPr>
          <w:rtl w:val="0"/>
        </w:rPr>
      </w:r>
    </w:p>
    <w:p w:rsidR="00000000" w:rsidDel="00000000" w:rsidP="00000000" w:rsidRDefault="00000000" w:rsidRPr="00000000" w14:paraId="0000007E">
      <w:pPr>
        <w:pStyle w:val="Heading3"/>
        <w:keepNext w:val="0"/>
        <w:keepLines w:val="0"/>
        <w:pBdr>
          <w:top w:color="auto" w:space="0" w:sz="0" w:val="none"/>
          <w:left w:color="auto" w:space="0" w:sz="0" w:val="none"/>
          <w:bottom w:color="auto" w:space="0" w:sz="0" w:val="none"/>
          <w:right w:color="auto" w:space="0" w:sz="0" w:val="none"/>
          <w:between w:color="auto" w:space="0" w:sz="0" w:val="none"/>
        </w:pBdr>
        <w:spacing w:after="120" w:before="360" w:lineRule="auto"/>
        <w:rPr>
          <w:rFonts w:ascii="Times" w:cs="Times" w:eastAsia="Times" w:hAnsi="Times"/>
          <w:sz w:val="24"/>
          <w:szCs w:val="24"/>
        </w:rPr>
      </w:pPr>
      <w:bookmarkStart w:colFirst="0" w:colLast="0" w:name="_heading=h.3q2dk7xxzbs6" w:id="0"/>
      <w:bookmarkEnd w:id="0"/>
      <w:r w:rsidDel="00000000" w:rsidR="00000000" w:rsidRPr="00000000">
        <w:rPr>
          <w:rFonts w:ascii="Times" w:cs="Times" w:eastAsia="Times" w:hAnsi="Times"/>
          <w:b w:val="0"/>
          <w:sz w:val="24"/>
          <w:szCs w:val="24"/>
          <w:rtl w:val="0"/>
        </w:rPr>
        <w:t xml:space="preserve">6.3. Future research directions</w:t>
      </w:r>
      <w:r w:rsidDel="00000000" w:rsidR="00000000" w:rsidRPr="00000000">
        <w:rPr>
          <w:rtl w:val="0"/>
        </w:rPr>
      </w:r>
    </w:p>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The concepts of individual sensemaking construction is crucial in B2B companies’ internationalisation under crisis context, as well as extensive and complicated. The propositions presented in this study, particularly the sensemaking framework and the claim that an individual's sensemaking processes and capability  require additional empirical evidence in different business contexts. As sensemaking involves both individual and organizational aspects, a comparative multi-firm case study that systematically varies the position and role of actors may provide a viable direction for further research. More empirical data is needed on the methods utilized by companies. This is an urgent issue as influencing our perceptions of the potential future is becoming a deliberate component of the business strategy of internationalising companies who understand the significance of sensemaking construction.</w:t>
      </w:r>
    </w:p>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480"/>
        <w:jc w:val="both"/>
        <w:rPr>
          <w:rFonts w:ascii="Times" w:cs="Times" w:eastAsia="Times" w:hAnsi="Times"/>
          <w:sz w:val="24"/>
          <w:szCs w:val="24"/>
        </w:rPr>
      </w:pPr>
      <w:r w:rsidDel="00000000" w:rsidR="00000000" w:rsidRPr="00000000">
        <w:rPr>
          <w:rtl w:val="0"/>
        </w:rPr>
      </w:r>
    </w:p>
    <w:p w:rsidR="00000000" w:rsidDel="00000000" w:rsidP="00000000" w:rsidRDefault="00000000" w:rsidRPr="00000000" w14:paraId="00000081">
      <w:pPr>
        <w:rPr>
          <w:rFonts w:ascii="Times New Roman" w:cs="Times New Roman" w:eastAsia="Times New Roman" w:hAnsi="Times New Roman"/>
          <w:color w:val="222222"/>
          <w:sz w:val="24"/>
          <w:szCs w:val="24"/>
          <w:highlight w:val="white"/>
        </w:rPr>
      </w:pPr>
      <w:r w:rsidDel="00000000" w:rsidR="00000000" w:rsidRPr="00000000">
        <w:rPr>
          <w:rtl w:val="0"/>
        </w:rPr>
      </w:r>
    </w:p>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right="0"/>
        <w:jc w:val="both"/>
        <w:rPr>
          <w:rFonts w:ascii="Times" w:cs="Times" w:eastAsia="Times" w:hAnsi="Times"/>
          <w:sz w:val="24"/>
          <w:szCs w:val="24"/>
        </w:rPr>
      </w:pPr>
      <w:r w:rsidDel="00000000" w:rsidR="00000000" w:rsidRPr="00000000">
        <w:rPr>
          <w:rtl w:val="0"/>
        </w:rPr>
      </w:r>
    </w:p>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right="0"/>
        <w:jc w:val="both"/>
        <w:rPr>
          <w:rFonts w:ascii="Times" w:cs="Times" w:eastAsia="Times" w:hAnsi="Times"/>
          <w:sz w:val="24"/>
          <w:szCs w:val="24"/>
        </w:rPr>
      </w:pPr>
      <w:r w:rsidDel="00000000" w:rsidR="00000000" w:rsidRPr="00000000">
        <w:rPr>
          <w:rFonts w:ascii="Times" w:cs="Times" w:eastAsia="Times" w:hAnsi="Times"/>
          <w:sz w:val="24"/>
          <w:szCs w:val="24"/>
          <w:rtl w:val="0"/>
        </w:rPr>
        <w:t xml:space="preserve">Reference:</w:t>
      </w:r>
    </w:p>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right="0"/>
        <w:jc w:val="both"/>
        <w:rPr>
          <w:rFonts w:ascii="Arial" w:cs="Arial" w:eastAsia="Arial" w:hAnsi="Arial"/>
          <w:color w:val="222222"/>
          <w:sz w:val="20"/>
          <w:szCs w:val="20"/>
          <w:highlight w:val="white"/>
        </w:rPr>
      </w:pPr>
      <w:r w:rsidDel="00000000" w:rsidR="00000000" w:rsidRPr="00000000">
        <w:rPr>
          <w:rFonts w:ascii="Arial" w:cs="Arial" w:eastAsia="Arial" w:hAnsi="Arial"/>
          <w:color w:val="222222"/>
          <w:sz w:val="20"/>
          <w:szCs w:val="20"/>
          <w:highlight w:val="white"/>
          <w:rtl w:val="0"/>
        </w:rPr>
        <w:t xml:space="preserve">Alvesson, M., &amp; Kärreman, D. (2001). Odd couple: making sense of the curious concept of knowledge management. </w:t>
      </w:r>
      <w:r w:rsidDel="00000000" w:rsidR="00000000" w:rsidRPr="00000000">
        <w:rPr>
          <w:rFonts w:ascii="Arial" w:cs="Arial" w:eastAsia="Arial" w:hAnsi="Arial"/>
          <w:i w:val="1"/>
          <w:color w:val="222222"/>
          <w:sz w:val="20"/>
          <w:szCs w:val="20"/>
          <w:highlight w:val="white"/>
          <w:rtl w:val="0"/>
        </w:rPr>
        <w:t xml:space="preserve">Journal of management studies</w:t>
      </w:r>
      <w:r w:rsidDel="00000000" w:rsidR="00000000" w:rsidRPr="00000000">
        <w:rPr>
          <w:rFonts w:ascii="Arial" w:cs="Arial" w:eastAsia="Arial" w:hAnsi="Arial"/>
          <w:color w:val="222222"/>
          <w:sz w:val="20"/>
          <w:szCs w:val="20"/>
          <w:highlight w:val="white"/>
          <w:rtl w:val="0"/>
        </w:rPr>
        <w:t xml:space="preserve">, </w:t>
      </w:r>
      <w:r w:rsidDel="00000000" w:rsidR="00000000" w:rsidRPr="00000000">
        <w:rPr>
          <w:rFonts w:ascii="Arial" w:cs="Arial" w:eastAsia="Arial" w:hAnsi="Arial"/>
          <w:i w:val="1"/>
          <w:color w:val="222222"/>
          <w:sz w:val="20"/>
          <w:szCs w:val="20"/>
          <w:highlight w:val="white"/>
          <w:rtl w:val="0"/>
        </w:rPr>
        <w:t xml:space="preserve">38</w:t>
      </w:r>
      <w:r w:rsidDel="00000000" w:rsidR="00000000" w:rsidRPr="00000000">
        <w:rPr>
          <w:rFonts w:ascii="Arial" w:cs="Arial" w:eastAsia="Arial" w:hAnsi="Arial"/>
          <w:color w:val="222222"/>
          <w:sz w:val="20"/>
          <w:szCs w:val="20"/>
          <w:highlight w:val="white"/>
          <w:rtl w:val="0"/>
        </w:rPr>
        <w:t xml:space="preserve">(7), 995-1018.</w:t>
      </w:r>
    </w:p>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right="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22222"/>
          <w:sz w:val="20"/>
          <w:szCs w:val="20"/>
          <w:highlight w:val="white"/>
          <w:rtl w:val="0"/>
        </w:rPr>
        <w:t xml:space="preserve">Atkinson, R., Crawford, L., &amp; Ward, S. (2006). Fundamental uncertainties in projects and the scope of project management. </w:t>
      </w:r>
      <w:r w:rsidDel="00000000" w:rsidR="00000000" w:rsidRPr="00000000">
        <w:rPr>
          <w:rFonts w:ascii="Times New Roman" w:cs="Times New Roman" w:eastAsia="Times New Roman" w:hAnsi="Times New Roman"/>
          <w:i w:val="1"/>
          <w:color w:val="222222"/>
          <w:sz w:val="20"/>
          <w:szCs w:val="20"/>
          <w:highlight w:val="white"/>
          <w:rtl w:val="0"/>
        </w:rPr>
        <w:t xml:space="preserve">International journal of project management</w:t>
      </w:r>
      <w:r w:rsidDel="00000000" w:rsidR="00000000" w:rsidRPr="00000000">
        <w:rPr>
          <w:rFonts w:ascii="Times New Roman" w:cs="Times New Roman" w:eastAsia="Times New Roman" w:hAnsi="Times New Roman"/>
          <w:color w:val="222222"/>
          <w:sz w:val="20"/>
          <w:szCs w:val="20"/>
          <w:highlight w:val="white"/>
          <w:rtl w:val="0"/>
        </w:rPr>
        <w:t xml:space="preserve">, </w:t>
      </w:r>
      <w:r w:rsidDel="00000000" w:rsidR="00000000" w:rsidRPr="00000000">
        <w:rPr>
          <w:rFonts w:ascii="Times New Roman" w:cs="Times New Roman" w:eastAsia="Times New Roman" w:hAnsi="Times New Roman"/>
          <w:i w:val="1"/>
          <w:color w:val="222222"/>
          <w:sz w:val="20"/>
          <w:szCs w:val="20"/>
          <w:highlight w:val="white"/>
          <w:rtl w:val="0"/>
        </w:rPr>
        <w:t xml:space="preserve">24</w:t>
      </w:r>
      <w:r w:rsidDel="00000000" w:rsidR="00000000" w:rsidRPr="00000000">
        <w:rPr>
          <w:rFonts w:ascii="Times New Roman" w:cs="Times New Roman" w:eastAsia="Times New Roman" w:hAnsi="Times New Roman"/>
          <w:color w:val="222222"/>
          <w:sz w:val="20"/>
          <w:szCs w:val="20"/>
          <w:highlight w:val="white"/>
          <w:rtl w:val="0"/>
        </w:rPr>
        <w:t xml:space="preserve">(8), 687-698.</w:t>
      </w:r>
      <w:r w:rsidDel="00000000" w:rsidR="00000000" w:rsidRPr="00000000">
        <w:rPr>
          <w:rtl w:val="0"/>
        </w:rPr>
      </w:r>
    </w:p>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right="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right="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22222"/>
          <w:sz w:val="20"/>
          <w:szCs w:val="20"/>
          <w:highlight w:val="white"/>
          <w:rtl w:val="0"/>
        </w:rPr>
        <w:t xml:space="preserve">Allaire, Y., &amp; Firsirotu, M. E. (1984). Theories of organizational culture. </w:t>
      </w:r>
      <w:r w:rsidDel="00000000" w:rsidR="00000000" w:rsidRPr="00000000">
        <w:rPr>
          <w:rFonts w:ascii="Times New Roman" w:cs="Times New Roman" w:eastAsia="Times New Roman" w:hAnsi="Times New Roman"/>
          <w:i w:val="1"/>
          <w:color w:val="222222"/>
          <w:sz w:val="20"/>
          <w:szCs w:val="20"/>
          <w:highlight w:val="white"/>
          <w:rtl w:val="0"/>
        </w:rPr>
        <w:t xml:space="preserve">Organization studies</w:t>
      </w:r>
      <w:r w:rsidDel="00000000" w:rsidR="00000000" w:rsidRPr="00000000">
        <w:rPr>
          <w:rFonts w:ascii="Times New Roman" w:cs="Times New Roman" w:eastAsia="Times New Roman" w:hAnsi="Times New Roman"/>
          <w:color w:val="222222"/>
          <w:sz w:val="20"/>
          <w:szCs w:val="20"/>
          <w:highlight w:val="white"/>
          <w:rtl w:val="0"/>
        </w:rPr>
        <w:t xml:space="preserve">, </w:t>
      </w:r>
      <w:r w:rsidDel="00000000" w:rsidR="00000000" w:rsidRPr="00000000">
        <w:rPr>
          <w:rFonts w:ascii="Times New Roman" w:cs="Times New Roman" w:eastAsia="Times New Roman" w:hAnsi="Times New Roman"/>
          <w:i w:val="1"/>
          <w:color w:val="222222"/>
          <w:sz w:val="20"/>
          <w:szCs w:val="20"/>
          <w:highlight w:val="white"/>
          <w:rtl w:val="0"/>
        </w:rPr>
        <w:t xml:space="preserve">5</w:t>
      </w:r>
      <w:r w:rsidDel="00000000" w:rsidR="00000000" w:rsidRPr="00000000">
        <w:rPr>
          <w:rFonts w:ascii="Times New Roman" w:cs="Times New Roman" w:eastAsia="Times New Roman" w:hAnsi="Times New Roman"/>
          <w:color w:val="222222"/>
          <w:sz w:val="20"/>
          <w:szCs w:val="20"/>
          <w:highlight w:val="white"/>
          <w:rtl w:val="0"/>
        </w:rPr>
        <w:t xml:space="preserve">(3), 193-226.</w:t>
      </w:r>
      <w:r w:rsidDel="00000000" w:rsidR="00000000" w:rsidRPr="00000000">
        <w:rPr>
          <w:rtl w:val="0"/>
        </w:rPr>
      </w:r>
    </w:p>
    <w:p w:rsidR="00000000" w:rsidDel="00000000" w:rsidP="00000000" w:rsidRDefault="00000000" w:rsidRPr="00000000" w14:paraId="00000088">
      <w:pPr>
        <w:rPr>
          <w:rFonts w:ascii="Times New Roman" w:cs="Times New Roman" w:eastAsia="Times New Roman" w:hAnsi="Times New Roman"/>
          <w:color w:val="222222"/>
          <w:sz w:val="20"/>
          <w:szCs w:val="20"/>
          <w:highlight w:val="white"/>
        </w:rPr>
      </w:pPr>
      <w:r w:rsidDel="00000000" w:rsidR="00000000" w:rsidRPr="00000000">
        <w:rPr>
          <w:rFonts w:ascii="Times New Roman" w:cs="Times New Roman" w:eastAsia="Times New Roman" w:hAnsi="Times New Roman"/>
          <w:color w:val="222222"/>
          <w:sz w:val="20"/>
          <w:szCs w:val="20"/>
          <w:highlight w:val="white"/>
          <w:rtl w:val="0"/>
        </w:rPr>
        <w:t xml:space="preserve">Basole, R. C., &amp; Rouse, W. B. (2008). Complexity of service value networks: Conceptualization and empirical investigation. </w:t>
      </w:r>
      <w:r w:rsidDel="00000000" w:rsidR="00000000" w:rsidRPr="00000000">
        <w:rPr>
          <w:rFonts w:ascii="Times New Roman" w:cs="Times New Roman" w:eastAsia="Times New Roman" w:hAnsi="Times New Roman"/>
          <w:color w:val="222222"/>
          <w:sz w:val="20"/>
          <w:szCs w:val="20"/>
          <w:highlight w:val="white"/>
          <w:rtl w:val="0"/>
        </w:rPr>
        <w:t xml:space="preserve">IBM systems journal</w:t>
      </w:r>
      <w:r w:rsidDel="00000000" w:rsidR="00000000" w:rsidRPr="00000000">
        <w:rPr>
          <w:rFonts w:ascii="Times New Roman" w:cs="Times New Roman" w:eastAsia="Times New Roman" w:hAnsi="Times New Roman"/>
          <w:color w:val="222222"/>
          <w:sz w:val="20"/>
          <w:szCs w:val="20"/>
          <w:highlight w:val="white"/>
          <w:rtl w:val="0"/>
        </w:rPr>
        <w:t xml:space="preserve">, </w:t>
      </w:r>
      <w:r w:rsidDel="00000000" w:rsidR="00000000" w:rsidRPr="00000000">
        <w:rPr>
          <w:rFonts w:ascii="Times New Roman" w:cs="Times New Roman" w:eastAsia="Times New Roman" w:hAnsi="Times New Roman"/>
          <w:color w:val="222222"/>
          <w:sz w:val="20"/>
          <w:szCs w:val="20"/>
          <w:highlight w:val="white"/>
          <w:rtl w:val="0"/>
        </w:rPr>
        <w:t xml:space="preserve">47</w:t>
      </w:r>
      <w:r w:rsidDel="00000000" w:rsidR="00000000" w:rsidRPr="00000000">
        <w:rPr>
          <w:rFonts w:ascii="Times New Roman" w:cs="Times New Roman" w:eastAsia="Times New Roman" w:hAnsi="Times New Roman"/>
          <w:color w:val="222222"/>
          <w:sz w:val="20"/>
          <w:szCs w:val="20"/>
          <w:highlight w:val="white"/>
          <w:rtl w:val="0"/>
        </w:rPr>
        <w:t xml:space="preserve">(1), 53-70.</w:t>
      </w:r>
    </w:p>
    <w:p w:rsidR="00000000" w:rsidDel="00000000" w:rsidP="00000000" w:rsidRDefault="00000000" w:rsidRPr="00000000" w14:paraId="00000089">
      <w:pPr>
        <w:rPr>
          <w:rFonts w:ascii="Times New Roman" w:cs="Times New Roman" w:eastAsia="Times New Roman" w:hAnsi="Times New Roman"/>
          <w:color w:val="222222"/>
          <w:sz w:val="20"/>
          <w:szCs w:val="20"/>
          <w:highlight w:val="white"/>
        </w:rPr>
      </w:pPr>
      <w:r w:rsidDel="00000000" w:rsidR="00000000" w:rsidRPr="00000000">
        <w:rPr>
          <w:rFonts w:ascii="Arial" w:cs="Arial" w:eastAsia="Arial" w:hAnsi="Arial"/>
          <w:color w:val="222222"/>
          <w:sz w:val="20"/>
          <w:szCs w:val="20"/>
          <w:highlight w:val="white"/>
          <w:rtl w:val="0"/>
        </w:rPr>
        <w:t xml:space="preserve">Berkelaar, B. L., &amp; Buzzanell, P. M. (2014). Cybervetting, person–environment fit, and personnel selection: Employers' surveillance and sensemaking of job applicants' online information. </w:t>
      </w:r>
      <w:r w:rsidDel="00000000" w:rsidR="00000000" w:rsidRPr="00000000">
        <w:rPr>
          <w:rFonts w:ascii="Arial" w:cs="Arial" w:eastAsia="Arial" w:hAnsi="Arial"/>
          <w:i w:val="1"/>
          <w:color w:val="222222"/>
          <w:sz w:val="20"/>
          <w:szCs w:val="20"/>
          <w:highlight w:val="white"/>
          <w:rtl w:val="0"/>
        </w:rPr>
        <w:t xml:space="preserve">Journal of Applied Communication Research</w:t>
      </w:r>
      <w:r w:rsidDel="00000000" w:rsidR="00000000" w:rsidRPr="00000000">
        <w:rPr>
          <w:rFonts w:ascii="Arial" w:cs="Arial" w:eastAsia="Arial" w:hAnsi="Arial"/>
          <w:color w:val="222222"/>
          <w:sz w:val="20"/>
          <w:szCs w:val="20"/>
          <w:highlight w:val="white"/>
          <w:rtl w:val="0"/>
        </w:rPr>
        <w:t xml:space="preserve">, </w:t>
      </w:r>
      <w:r w:rsidDel="00000000" w:rsidR="00000000" w:rsidRPr="00000000">
        <w:rPr>
          <w:rFonts w:ascii="Arial" w:cs="Arial" w:eastAsia="Arial" w:hAnsi="Arial"/>
          <w:i w:val="1"/>
          <w:color w:val="222222"/>
          <w:sz w:val="20"/>
          <w:szCs w:val="20"/>
          <w:highlight w:val="white"/>
          <w:rtl w:val="0"/>
        </w:rPr>
        <w:t xml:space="preserve">42</w:t>
      </w:r>
      <w:r w:rsidDel="00000000" w:rsidR="00000000" w:rsidRPr="00000000">
        <w:rPr>
          <w:rFonts w:ascii="Arial" w:cs="Arial" w:eastAsia="Arial" w:hAnsi="Arial"/>
          <w:color w:val="222222"/>
          <w:sz w:val="20"/>
          <w:szCs w:val="20"/>
          <w:highlight w:val="white"/>
          <w:rtl w:val="0"/>
        </w:rPr>
        <w:t xml:space="preserve">(4), 456-476.</w:t>
      </w:r>
      <w:r w:rsidDel="00000000" w:rsidR="00000000" w:rsidRPr="00000000">
        <w:rPr>
          <w:rtl w:val="0"/>
        </w:rPr>
      </w:r>
    </w:p>
    <w:p w:rsidR="00000000" w:rsidDel="00000000" w:rsidP="00000000" w:rsidRDefault="00000000" w:rsidRPr="00000000" w14:paraId="0000008A">
      <w:pPr>
        <w:widowControl w:val="1"/>
        <w:jc w:val="left"/>
        <w:rPr>
          <w:rFonts w:ascii="Times New Roman" w:cs="Times New Roman" w:eastAsia="Times New Roman" w:hAnsi="Times New Roman"/>
          <w:color w:val="222222"/>
          <w:sz w:val="20"/>
          <w:szCs w:val="20"/>
          <w:highlight w:val="white"/>
        </w:rPr>
      </w:pPr>
      <w:r w:rsidDel="00000000" w:rsidR="00000000" w:rsidRPr="00000000">
        <w:rPr>
          <w:rFonts w:ascii="Times New Roman" w:cs="Times New Roman" w:eastAsia="Times New Roman" w:hAnsi="Times New Roman"/>
          <w:color w:val="222222"/>
          <w:sz w:val="20"/>
          <w:szCs w:val="20"/>
          <w:highlight w:val="white"/>
          <w:rtl w:val="0"/>
        </w:rPr>
        <w:t xml:space="preserve">Brown, A. D., Colville, I., &amp; Pye, A. (2015). Making sense of sensemaking in organization studies. </w:t>
      </w:r>
      <w:r w:rsidDel="00000000" w:rsidR="00000000" w:rsidRPr="00000000">
        <w:rPr>
          <w:rFonts w:ascii="Times New Roman" w:cs="Times New Roman" w:eastAsia="Times New Roman" w:hAnsi="Times New Roman"/>
          <w:i w:val="1"/>
          <w:color w:val="222222"/>
          <w:sz w:val="20"/>
          <w:szCs w:val="20"/>
          <w:highlight w:val="white"/>
          <w:rtl w:val="0"/>
        </w:rPr>
        <w:t xml:space="preserve">Organization studies</w:t>
      </w:r>
      <w:r w:rsidDel="00000000" w:rsidR="00000000" w:rsidRPr="00000000">
        <w:rPr>
          <w:rFonts w:ascii="Times New Roman" w:cs="Times New Roman" w:eastAsia="Times New Roman" w:hAnsi="Times New Roman"/>
          <w:color w:val="222222"/>
          <w:sz w:val="20"/>
          <w:szCs w:val="20"/>
          <w:highlight w:val="white"/>
          <w:rtl w:val="0"/>
        </w:rPr>
        <w:t xml:space="preserve">, </w:t>
      </w:r>
      <w:r w:rsidDel="00000000" w:rsidR="00000000" w:rsidRPr="00000000">
        <w:rPr>
          <w:rFonts w:ascii="Times New Roman" w:cs="Times New Roman" w:eastAsia="Times New Roman" w:hAnsi="Times New Roman"/>
          <w:i w:val="1"/>
          <w:color w:val="222222"/>
          <w:sz w:val="20"/>
          <w:szCs w:val="20"/>
          <w:highlight w:val="white"/>
          <w:rtl w:val="0"/>
        </w:rPr>
        <w:t xml:space="preserve">36</w:t>
      </w:r>
      <w:r w:rsidDel="00000000" w:rsidR="00000000" w:rsidRPr="00000000">
        <w:rPr>
          <w:rFonts w:ascii="Times New Roman" w:cs="Times New Roman" w:eastAsia="Times New Roman" w:hAnsi="Times New Roman"/>
          <w:color w:val="222222"/>
          <w:sz w:val="20"/>
          <w:szCs w:val="20"/>
          <w:highlight w:val="white"/>
          <w:rtl w:val="0"/>
        </w:rPr>
        <w:t xml:space="preserve">(2), 265-277.</w:t>
      </w:r>
    </w:p>
    <w:p w:rsidR="00000000" w:rsidDel="00000000" w:rsidP="00000000" w:rsidRDefault="00000000" w:rsidRPr="00000000" w14:paraId="0000008B">
      <w:pPr>
        <w:widowControl w:val="1"/>
        <w:jc w:val="left"/>
        <w:rPr>
          <w:rFonts w:ascii="Times New Roman" w:cs="Times New Roman" w:eastAsia="Times New Roman" w:hAnsi="Times New Roman"/>
          <w:color w:val="222222"/>
          <w:sz w:val="20"/>
          <w:szCs w:val="20"/>
          <w:highlight w:val="white"/>
        </w:rPr>
      </w:pPr>
      <w:r w:rsidDel="00000000" w:rsidR="00000000" w:rsidRPr="00000000">
        <w:rPr>
          <w:rFonts w:ascii="Arial" w:cs="Arial" w:eastAsia="Arial" w:hAnsi="Arial"/>
          <w:color w:val="222222"/>
          <w:sz w:val="20"/>
          <w:szCs w:val="20"/>
          <w:highlight w:val="white"/>
          <w:rtl w:val="0"/>
        </w:rPr>
        <w:t xml:space="preserve">Bögel, P. M. (2015). Processing of CSR communication: insights from the ELM. </w:t>
      </w:r>
      <w:r w:rsidDel="00000000" w:rsidR="00000000" w:rsidRPr="00000000">
        <w:rPr>
          <w:rFonts w:ascii="Arial" w:cs="Arial" w:eastAsia="Arial" w:hAnsi="Arial"/>
          <w:i w:val="1"/>
          <w:color w:val="222222"/>
          <w:sz w:val="20"/>
          <w:szCs w:val="20"/>
          <w:highlight w:val="white"/>
          <w:rtl w:val="0"/>
        </w:rPr>
        <w:t xml:space="preserve">Corporate Communications: An International Journal</w:t>
      </w:r>
      <w:r w:rsidDel="00000000" w:rsidR="00000000" w:rsidRPr="00000000">
        <w:rPr>
          <w:rFonts w:ascii="Arial" w:cs="Arial" w:eastAsia="Arial" w:hAnsi="Arial"/>
          <w:color w:val="222222"/>
          <w:sz w:val="20"/>
          <w:szCs w:val="20"/>
          <w:highlight w:val="white"/>
          <w:rtl w:val="0"/>
        </w:rPr>
        <w:t xml:space="preserve">.</w:t>
      </w:r>
      <w:r w:rsidDel="00000000" w:rsidR="00000000" w:rsidRPr="00000000">
        <w:rPr>
          <w:rtl w:val="0"/>
        </w:rPr>
      </w:r>
    </w:p>
    <w:p w:rsidR="00000000" w:rsidDel="00000000" w:rsidP="00000000" w:rsidRDefault="00000000" w:rsidRPr="00000000" w14:paraId="0000008C">
      <w:pPr>
        <w:widowControl w:val="1"/>
        <w:jc w:val="left"/>
        <w:rPr>
          <w:rFonts w:ascii="Arial" w:cs="Arial" w:eastAsia="Arial" w:hAnsi="Arial"/>
          <w:color w:val="222222"/>
          <w:sz w:val="20"/>
          <w:szCs w:val="20"/>
          <w:highlight w:val="white"/>
        </w:rPr>
      </w:pPr>
      <w:r w:rsidDel="00000000" w:rsidR="00000000" w:rsidRPr="00000000">
        <w:rPr>
          <w:rFonts w:ascii="Arial" w:cs="Arial" w:eastAsia="Arial" w:hAnsi="Arial"/>
          <w:color w:val="222222"/>
          <w:sz w:val="20"/>
          <w:szCs w:val="20"/>
          <w:highlight w:val="white"/>
          <w:rtl w:val="0"/>
        </w:rPr>
        <w:t xml:space="preserve">Boyce, M. E. (1995). Collective centring and collective sense-making in the stories and storytelling of one organization. </w:t>
      </w:r>
      <w:r w:rsidDel="00000000" w:rsidR="00000000" w:rsidRPr="00000000">
        <w:rPr>
          <w:rFonts w:ascii="Arial" w:cs="Arial" w:eastAsia="Arial" w:hAnsi="Arial"/>
          <w:i w:val="1"/>
          <w:color w:val="222222"/>
          <w:sz w:val="20"/>
          <w:szCs w:val="20"/>
          <w:highlight w:val="white"/>
          <w:rtl w:val="0"/>
        </w:rPr>
        <w:t xml:space="preserve">Organization Studies</w:t>
      </w:r>
      <w:r w:rsidDel="00000000" w:rsidR="00000000" w:rsidRPr="00000000">
        <w:rPr>
          <w:rFonts w:ascii="Arial" w:cs="Arial" w:eastAsia="Arial" w:hAnsi="Arial"/>
          <w:color w:val="222222"/>
          <w:sz w:val="20"/>
          <w:szCs w:val="20"/>
          <w:highlight w:val="white"/>
          <w:rtl w:val="0"/>
        </w:rPr>
        <w:t xml:space="preserve">, </w:t>
      </w:r>
      <w:r w:rsidDel="00000000" w:rsidR="00000000" w:rsidRPr="00000000">
        <w:rPr>
          <w:rFonts w:ascii="Arial" w:cs="Arial" w:eastAsia="Arial" w:hAnsi="Arial"/>
          <w:i w:val="1"/>
          <w:color w:val="222222"/>
          <w:sz w:val="20"/>
          <w:szCs w:val="20"/>
          <w:highlight w:val="white"/>
          <w:rtl w:val="0"/>
        </w:rPr>
        <w:t xml:space="preserve">16</w:t>
      </w:r>
      <w:r w:rsidDel="00000000" w:rsidR="00000000" w:rsidRPr="00000000">
        <w:rPr>
          <w:rFonts w:ascii="Arial" w:cs="Arial" w:eastAsia="Arial" w:hAnsi="Arial"/>
          <w:color w:val="222222"/>
          <w:sz w:val="20"/>
          <w:szCs w:val="20"/>
          <w:highlight w:val="white"/>
          <w:rtl w:val="0"/>
        </w:rPr>
        <w:t xml:space="preserve">(1), 107-137.</w:t>
      </w:r>
    </w:p>
    <w:p w:rsidR="00000000" w:rsidDel="00000000" w:rsidP="00000000" w:rsidRDefault="00000000" w:rsidRPr="00000000" w14:paraId="0000008D">
      <w:pPr>
        <w:widowControl w:val="1"/>
        <w:jc w:val="left"/>
        <w:rPr>
          <w:rFonts w:ascii="Arial" w:cs="Arial" w:eastAsia="Arial" w:hAnsi="Arial"/>
          <w:color w:val="222222"/>
          <w:sz w:val="20"/>
          <w:szCs w:val="20"/>
          <w:highlight w:val="white"/>
        </w:rPr>
      </w:pPr>
      <w:r w:rsidDel="00000000" w:rsidR="00000000" w:rsidRPr="00000000">
        <w:rPr>
          <w:rtl w:val="0"/>
        </w:rPr>
      </w:r>
    </w:p>
    <w:p w:rsidR="00000000" w:rsidDel="00000000" w:rsidP="00000000" w:rsidRDefault="00000000" w:rsidRPr="00000000" w14:paraId="0000008E">
      <w:pPr>
        <w:widowControl w:val="1"/>
        <w:jc w:val="left"/>
        <w:rPr>
          <w:rFonts w:ascii="Arial" w:cs="Arial" w:eastAsia="Arial" w:hAnsi="Arial"/>
          <w:color w:val="222222"/>
          <w:sz w:val="20"/>
          <w:szCs w:val="20"/>
          <w:highlight w:val="white"/>
        </w:rPr>
      </w:pPr>
      <w:r w:rsidDel="00000000" w:rsidR="00000000" w:rsidRPr="00000000">
        <w:rPr>
          <w:rFonts w:ascii="Arial" w:cs="Arial" w:eastAsia="Arial" w:hAnsi="Arial"/>
          <w:color w:val="222222"/>
          <w:sz w:val="20"/>
          <w:szCs w:val="20"/>
          <w:highlight w:val="white"/>
          <w:rtl w:val="0"/>
        </w:rPr>
        <w:t xml:space="preserve">Cacioppo, J. T., Petty, R. E., &amp; Feng Kao, C. (1984). The efficient assessment of need for cognition. </w:t>
      </w:r>
      <w:r w:rsidDel="00000000" w:rsidR="00000000" w:rsidRPr="00000000">
        <w:rPr>
          <w:rFonts w:ascii="Arial" w:cs="Arial" w:eastAsia="Arial" w:hAnsi="Arial"/>
          <w:i w:val="1"/>
          <w:color w:val="222222"/>
          <w:sz w:val="20"/>
          <w:szCs w:val="20"/>
          <w:highlight w:val="white"/>
          <w:rtl w:val="0"/>
        </w:rPr>
        <w:t xml:space="preserve">Journal of personality assessment</w:t>
      </w:r>
      <w:r w:rsidDel="00000000" w:rsidR="00000000" w:rsidRPr="00000000">
        <w:rPr>
          <w:rFonts w:ascii="Arial" w:cs="Arial" w:eastAsia="Arial" w:hAnsi="Arial"/>
          <w:color w:val="222222"/>
          <w:sz w:val="20"/>
          <w:szCs w:val="20"/>
          <w:highlight w:val="white"/>
          <w:rtl w:val="0"/>
        </w:rPr>
        <w:t xml:space="preserve">, </w:t>
      </w:r>
      <w:r w:rsidDel="00000000" w:rsidR="00000000" w:rsidRPr="00000000">
        <w:rPr>
          <w:rFonts w:ascii="Arial" w:cs="Arial" w:eastAsia="Arial" w:hAnsi="Arial"/>
          <w:i w:val="1"/>
          <w:color w:val="222222"/>
          <w:sz w:val="20"/>
          <w:szCs w:val="20"/>
          <w:highlight w:val="white"/>
          <w:rtl w:val="0"/>
        </w:rPr>
        <w:t xml:space="preserve">48</w:t>
      </w:r>
      <w:r w:rsidDel="00000000" w:rsidR="00000000" w:rsidRPr="00000000">
        <w:rPr>
          <w:rFonts w:ascii="Arial" w:cs="Arial" w:eastAsia="Arial" w:hAnsi="Arial"/>
          <w:color w:val="222222"/>
          <w:sz w:val="20"/>
          <w:szCs w:val="20"/>
          <w:highlight w:val="white"/>
          <w:rtl w:val="0"/>
        </w:rPr>
        <w:t xml:space="preserve">(3), 306-307.</w:t>
      </w:r>
    </w:p>
    <w:p w:rsidR="00000000" w:rsidDel="00000000" w:rsidP="00000000" w:rsidRDefault="00000000" w:rsidRPr="00000000" w14:paraId="0000008F">
      <w:pPr>
        <w:widowControl w:val="1"/>
        <w:jc w:val="left"/>
        <w:rPr>
          <w:rFonts w:ascii="Arial" w:cs="Arial" w:eastAsia="Arial" w:hAnsi="Arial"/>
          <w:color w:val="222222"/>
          <w:sz w:val="20"/>
          <w:szCs w:val="20"/>
          <w:highlight w:val="white"/>
        </w:rPr>
      </w:pPr>
      <w:r w:rsidDel="00000000" w:rsidR="00000000" w:rsidRPr="00000000">
        <w:rPr>
          <w:rFonts w:ascii="Arial" w:cs="Arial" w:eastAsia="Arial" w:hAnsi="Arial"/>
          <w:color w:val="222222"/>
          <w:sz w:val="20"/>
          <w:szCs w:val="20"/>
          <w:highlight w:val="white"/>
          <w:rtl w:val="0"/>
        </w:rPr>
        <w:t xml:space="preserve">Cheung, C. M., &amp; Thadani, D. R. (2012). The impact of electronic word-of-mouth communication: A literature analysis and integrative model. </w:t>
      </w:r>
      <w:r w:rsidDel="00000000" w:rsidR="00000000" w:rsidRPr="00000000">
        <w:rPr>
          <w:rFonts w:ascii="Arial" w:cs="Arial" w:eastAsia="Arial" w:hAnsi="Arial"/>
          <w:i w:val="1"/>
          <w:color w:val="222222"/>
          <w:sz w:val="20"/>
          <w:szCs w:val="20"/>
          <w:highlight w:val="white"/>
          <w:rtl w:val="0"/>
        </w:rPr>
        <w:t xml:space="preserve">Decision support systems</w:t>
      </w:r>
      <w:r w:rsidDel="00000000" w:rsidR="00000000" w:rsidRPr="00000000">
        <w:rPr>
          <w:rFonts w:ascii="Arial" w:cs="Arial" w:eastAsia="Arial" w:hAnsi="Arial"/>
          <w:color w:val="222222"/>
          <w:sz w:val="20"/>
          <w:szCs w:val="20"/>
          <w:highlight w:val="white"/>
          <w:rtl w:val="0"/>
        </w:rPr>
        <w:t xml:space="preserve">, </w:t>
      </w:r>
      <w:r w:rsidDel="00000000" w:rsidR="00000000" w:rsidRPr="00000000">
        <w:rPr>
          <w:rFonts w:ascii="Arial" w:cs="Arial" w:eastAsia="Arial" w:hAnsi="Arial"/>
          <w:i w:val="1"/>
          <w:color w:val="222222"/>
          <w:sz w:val="20"/>
          <w:szCs w:val="20"/>
          <w:highlight w:val="white"/>
          <w:rtl w:val="0"/>
        </w:rPr>
        <w:t xml:space="preserve">54</w:t>
      </w:r>
      <w:r w:rsidDel="00000000" w:rsidR="00000000" w:rsidRPr="00000000">
        <w:rPr>
          <w:rFonts w:ascii="Arial" w:cs="Arial" w:eastAsia="Arial" w:hAnsi="Arial"/>
          <w:color w:val="222222"/>
          <w:sz w:val="20"/>
          <w:szCs w:val="20"/>
          <w:highlight w:val="white"/>
          <w:rtl w:val="0"/>
        </w:rPr>
        <w:t xml:space="preserve">(1), 461-470.</w:t>
      </w:r>
    </w:p>
    <w:p w:rsidR="00000000" w:rsidDel="00000000" w:rsidP="00000000" w:rsidRDefault="00000000" w:rsidRPr="00000000" w14:paraId="00000090">
      <w:pPr>
        <w:widowControl w:val="1"/>
        <w:jc w:val="left"/>
        <w:rPr>
          <w:rFonts w:ascii="Times New Roman" w:cs="Times New Roman" w:eastAsia="Times New Roman" w:hAnsi="Times New Roman"/>
          <w:color w:val="222222"/>
          <w:sz w:val="20"/>
          <w:szCs w:val="20"/>
          <w:highlight w:val="white"/>
        </w:rPr>
      </w:pPr>
      <w:r w:rsidDel="00000000" w:rsidR="00000000" w:rsidRPr="00000000">
        <w:rPr>
          <w:rFonts w:ascii="Times New Roman" w:cs="Times New Roman" w:eastAsia="Times New Roman" w:hAnsi="Times New Roman"/>
          <w:color w:val="222222"/>
          <w:sz w:val="20"/>
          <w:szCs w:val="20"/>
          <w:highlight w:val="white"/>
          <w:rtl w:val="0"/>
        </w:rPr>
        <w:t xml:space="preserve">Cheung, C. M. Y., Sia, C. L., &amp; Kuan, K. K. (2012). Is this review believable? A study of factors affecting the credibility of online consumer reviews from an ELM perspective. </w:t>
      </w:r>
      <w:r w:rsidDel="00000000" w:rsidR="00000000" w:rsidRPr="00000000">
        <w:rPr>
          <w:rFonts w:ascii="Times New Roman" w:cs="Times New Roman" w:eastAsia="Times New Roman" w:hAnsi="Times New Roman"/>
          <w:i w:val="1"/>
          <w:color w:val="222222"/>
          <w:sz w:val="20"/>
          <w:szCs w:val="20"/>
          <w:highlight w:val="white"/>
          <w:rtl w:val="0"/>
        </w:rPr>
        <w:t xml:space="preserve">Journal of the Association for Information Systems</w:t>
      </w:r>
      <w:r w:rsidDel="00000000" w:rsidR="00000000" w:rsidRPr="00000000">
        <w:rPr>
          <w:rFonts w:ascii="Times New Roman" w:cs="Times New Roman" w:eastAsia="Times New Roman" w:hAnsi="Times New Roman"/>
          <w:color w:val="222222"/>
          <w:sz w:val="20"/>
          <w:szCs w:val="20"/>
          <w:highlight w:val="white"/>
          <w:rtl w:val="0"/>
        </w:rPr>
        <w:t xml:space="preserve">, </w:t>
      </w:r>
      <w:r w:rsidDel="00000000" w:rsidR="00000000" w:rsidRPr="00000000">
        <w:rPr>
          <w:rFonts w:ascii="Times New Roman" w:cs="Times New Roman" w:eastAsia="Times New Roman" w:hAnsi="Times New Roman"/>
          <w:i w:val="1"/>
          <w:color w:val="222222"/>
          <w:sz w:val="20"/>
          <w:szCs w:val="20"/>
          <w:highlight w:val="white"/>
          <w:rtl w:val="0"/>
        </w:rPr>
        <w:t xml:space="preserve">13</w:t>
      </w:r>
      <w:r w:rsidDel="00000000" w:rsidR="00000000" w:rsidRPr="00000000">
        <w:rPr>
          <w:rFonts w:ascii="Times New Roman" w:cs="Times New Roman" w:eastAsia="Times New Roman" w:hAnsi="Times New Roman"/>
          <w:color w:val="222222"/>
          <w:sz w:val="20"/>
          <w:szCs w:val="20"/>
          <w:highlight w:val="white"/>
          <w:rtl w:val="0"/>
        </w:rPr>
        <w:t xml:space="preserve">(8), 2.</w:t>
      </w:r>
    </w:p>
    <w:p w:rsidR="00000000" w:rsidDel="00000000" w:rsidP="00000000" w:rsidRDefault="00000000" w:rsidRPr="00000000" w14:paraId="00000091">
      <w:pPr>
        <w:widowControl w:val="1"/>
        <w:jc w:val="left"/>
        <w:rPr>
          <w:rFonts w:ascii="Times New Roman" w:cs="Times New Roman" w:eastAsia="Times New Roman" w:hAnsi="Times New Roman"/>
          <w:color w:val="222222"/>
          <w:sz w:val="20"/>
          <w:szCs w:val="20"/>
          <w:highlight w:val="white"/>
        </w:rPr>
      </w:pPr>
      <w:r w:rsidDel="00000000" w:rsidR="00000000" w:rsidRPr="00000000">
        <w:rPr>
          <w:rFonts w:ascii="Times New Roman" w:cs="Times New Roman" w:eastAsia="Times New Roman" w:hAnsi="Times New Roman"/>
          <w:color w:val="222222"/>
          <w:sz w:val="20"/>
          <w:szCs w:val="20"/>
          <w:highlight w:val="white"/>
          <w:rtl w:val="0"/>
        </w:rPr>
        <w:t xml:space="preserve">Choo, C. W. (2002). Sensemaking, knowledge creation, and decision making. </w:t>
      </w:r>
      <w:r w:rsidDel="00000000" w:rsidR="00000000" w:rsidRPr="00000000">
        <w:rPr>
          <w:rFonts w:ascii="Times New Roman" w:cs="Times New Roman" w:eastAsia="Times New Roman" w:hAnsi="Times New Roman"/>
          <w:i w:val="1"/>
          <w:color w:val="222222"/>
          <w:sz w:val="20"/>
          <w:szCs w:val="20"/>
          <w:highlight w:val="white"/>
          <w:rtl w:val="0"/>
        </w:rPr>
        <w:t xml:space="preserve">The strategic management of intellectual capital and organizational knowledge</w:t>
      </w:r>
      <w:r w:rsidDel="00000000" w:rsidR="00000000" w:rsidRPr="00000000">
        <w:rPr>
          <w:rFonts w:ascii="Times New Roman" w:cs="Times New Roman" w:eastAsia="Times New Roman" w:hAnsi="Times New Roman"/>
          <w:color w:val="222222"/>
          <w:sz w:val="20"/>
          <w:szCs w:val="20"/>
          <w:highlight w:val="white"/>
          <w:rtl w:val="0"/>
        </w:rPr>
        <w:t xml:space="preserve">, </w:t>
      </w:r>
      <w:r w:rsidDel="00000000" w:rsidR="00000000" w:rsidRPr="00000000">
        <w:rPr>
          <w:rFonts w:ascii="Times New Roman" w:cs="Times New Roman" w:eastAsia="Times New Roman" w:hAnsi="Times New Roman"/>
          <w:i w:val="1"/>
          <w:color w:val="222222"/>
          <w:sz w:val="20"/>
          <w:szCs w:val="20"/>
          <w:highlight w:val="white"/>
          <w:rtl w:val="0"/>
        </w:rPr>
        <w:t xml:space="preserve">79</w:t>
      </w:r>
      <w:r w:rsidDel="00000000" w:rsidR="00000000" w:rsidRPr="00000000">
        <w:rPr>
          <w:rFonts w:ascii="Times New Roman" w:cs="Times New Roman" w:eastAsia="Times New Roman" w:hAnsi="Times New Roman"/>
          <w:color w:val="222222"/>
          <w:sz w:val="20"/>
          <w:szCs w:val="20"/>
          <w:highlight w:val="white"/>
          <w:rtl w:val="0"/>
        </w:rPr>
        <w:t xml:space="preserve">, 88.</w:t>
      </w:r>
    </w:p>
    <w:p w:rsidR="00000000" w:rsidDel="00000000" w:rsidP="00000000" w:rsidRDefault="00000000" w:rsidRPr="00000000" w14:paraId="00000092">
      <w:pPr>
        <w:widowControl w:val="1"/>
        <w:jc w:val="left"/>
        <w:rPr>
          <w:rFonts w:ascii="Times New Roman" w:cs="Times New Roman" w:eastAsia="Times New Roman" w:hAnsi="Times New Roman"/>
          <w:color w:val="222222"/>
          <w:sz w:val="20"/>
          <w:szCs w:val="20"/>
          <w:highlight w:val="white"/>
        </w:rPr>
      </w:pPr>
      <w:r w:rsidDel="00000000" w:rsidR="00000000" w:rsidRPr="00000000">
        <w:rPr>
          <w:rtl w:val="0"/>
        </w:rPr>
      </w:r>
    </w:p>
    <w:p w:rsidR="00000000" w:rsidDel="00000000" w:rsidP="00000000" w:rsidRDefault="00000000" w:rsidRPr="00000000" w14:paraId="00000093">
      <w:pPr>
        <w:widowControl w:val="1"/>
        <w:jc w:val="left"/>
        <w:rPr>
          <w:rFonts w:ascii="Times New Roman" w:cs="Times New Roman" w:eastAsia="Times New Roman" w:hAnsi="Times New Roman"/>
          <w:color w:val="222222"/>
          <w:sz w:val="20"/>
          <w:szCs w:val="20"/>
          <w:highlight w:val="white"/>
        </w:rPr>
      </w:pPr>
      <w:r w:rsidDel="00000000" w:rsidR="00000000" w:rsidRPr="00000000">
        <w:rPr>
          <w:rFonts w:ascii="Times New Roman" w:cs="Times New Roman" w:eastAsia="Times New Roman" w:hAnsi="Times New Roman"/>
          <w:color w:val="222222"/>
          <w:sz w:val="20"/>
          <w:szCs w:val="20"/>
          <w:highlight w:val="white"/>
          <w:rtl w:val="0"/>
        </w:rPr>
        <w:t xml:space="preserve">Drazin, R., Glynn, M. A., &amp; Kazanjian, R. K. (1999). Multilevel theorizing about creativity in organizations: A sensemaking perspective. </w:t>
      </w:r>
      <w:r w:rsidDel="00000000" w:rsidR="00000000" w:rsidRPr="00000000">
        <w:rPr>
          <w:rFonts w:ascii="Times New Roman" w:cs="Times New Roman" w:eastAsia="Times New Roman" w:hAnsi="Times New Roman"/>
          <w:i w:val="1"/>
          <w:color w:val="222222"/>
          <w:sz w:val="20"/>
          <w:szCs w:val="20"/>
          <w:highlight w:val="white"/>
          <w:rtl w:val="0"/>
        </w:rPr>
        <w:t xml:space="preserve">Academy of management review</w:t>
      </w:r>
      <w:r w:rsidDel="00000000" w:rsidR="00000000" w:rsidRPr="00000000">
        <w:rPr>
          <w:rFonts w:ascii="Times New Roman" w:cs="Times New Roman" w:eastAsia="Times New Roman" w:hAnsi="Times New Roman"/>
          <w:color w:val="222222"/>
          <w:sz w:val="20"/>
          <w:szCs w:val="20"/>
          <w:highlight w:val="white"/>
          <w:rtl w:val="0"/>
        </w:rPr>
        <w:t xml:space="preserve">, </w:t>
      </w:r>
      <w:r w:rsidDel="00000000" w:rsidR="00000000" w:rsidRPr="00000000">
        <w:rPr>
          <w:rFonts w:ascii="Times New Roman" w:cs="Times New Roman" w:eastAsia="Times New Roman" w:hAnsi="Times New Roman"/>
          <w:i w:val="1"/>
          <w:color w:val="222222"/>
          <w:sz w:val="20"/>
          <w:szCs w:val="20"/>
          <w:highlight w:val="white"/>
          <w:rtl w:val="0"/>
        </w:rPr>
        <w:t xml:space="preserve">24</w:t>
      </w:r>
      <w:r w:rsidDel="00000000" w:rsidR="00000000" w:rsidRPr="00000000">
        <w:rPr>
          <w:rFonts w:ascii="Times New Roman" w:cs="Times New Roman" w:eastAsia="Times New Roman" w:hAnsi="Times New Roman"/>
          <w:color w:val="222222"/>
          <w:sz w:val="20"/>
          <w:szCs w:val="20"/>
          <w:highlight w:val="white"/>
          <w:rtl w:val="0"/>
        </w:rPr>
        <w:t xml:space="preserve">(2), 286-307.</w:t>
      </w:r>
    </w:p>
    <w:p w:rsidR="00000000" w:rsidDel="00000000" w:rsidP="00000000" w:rsidRDefault="00000000" w:rsidRPr="00000000" w14:paraId="00000094">
      <w:pPr>
        <w:widowControl w:val="1"/>
        <w:jc w:val="left"/>
        <w:rPr>
          <w:rFonts w:ascii="Arial" w:cs="Arial" w:eastAsia="Arial" w:hAnsi="Arial"/>
          <w:color w:val="222222"/>
          <w:sz w:val="20"/>
          <w:szCs w:val="20"/>
          <w:highlight w:val="white"/>
        </w:rPr>
      </w:pPr>
      <w:r w:rsidDel="00000000" w:rsidR="00000000" w:rsidRPr="00000000">
        <w:rPr>
          <w:rFonts w:ascii="Arial" w:cs="Arial" w:eastAsia="Arial" w:hAnsi="Arial"/>
          <w:color w:val="222222"/>
          <w:sz w:val="20"/>
          <w:szCs w:val="20"/>
          <w:highlight w:val="white"/>
          <w:rtl w:val="0"/>
        </w:rPr>
        <w:t xml:space="preserve">Eisenhardt, K. M. (1989). Building theories from case study research. </w:t>
      </w:r>
      <w:r w:rsidDel="00000000" w:rsidR="00000000" w:rsidRPr="00000000">
        <w:rPr>
          <w:rFonts w:ascii="Arial" w:cs="Arial" w:eastAsia="Arial" w:hAnsi="Arial"/>
          <w:i w:val="1"/>
          <w:color w:val="222222"/>
          <w:sz w:val="20"/>
          <w:szCs w:val="20"/>
          <w:highlight w:val="white"/>
          <w:rtl w:val="0"/>
        </w:rPr>
        <w:t xml:space="preserve">Academy of management review</w:t>
      </w:r>
      <w:r w:rsidDel="00000000" w:rsidR="00000000" w:rsidRPr="00000000">
        <w:rPr>
          <w:rFonts w:ascii="Arial" w:cs="Arial" w:eastAsia="Arial" w:hAnsi="Arial"/>
          <w:color w:val="222222"/>
          <w:sz w:val="20"/>
          <w:szCs w:val="20"/>
          <w:highlight w:val="white"/>
          <w:rtl w:val="0"/>
        </w:rPr>
        <w:t xml:space="preserve">, </w:t>
      </w:r>
      <w:r w:rsidDel="00000000" w:rsidR="00000000" w:rsidRPr="00000000">
        <w:rPr>
          <w:rFonts w:ascii="Arial" w:cs="Arial" w:eastAsia="Arial" w:hAnsi="Arial"/>
          <w:i w:val="1"/>
          <w:color w:val="222222"/>
          <w:sz w:val="20"/>
          <w:szCs w:val="20"/>
          <w:highlight w:val="white"/>
          <w:rtl w:val="0"/>
        </w:rPr>
        <w:t xml:space="preserve">14</w:t>
      </w:r>
      <w:r w:rsidDel="00000000" w:rsidR="00000000" w:rsidRPr="00000000">
        <w:rPr>
          <w:rFonts w:ascii="Arial" w:cs="Arial" w:eastAsia="Arial" w:hAnsi="Arial"/>
          <w:color w:val="222222"/>
          <w:sz w:val="20"/>
          <w:szCs w:val="20"/>
          <w:highlight w:val="white"/>
          <w:rtl w:val="0"/>
        </w:rPr>
        <w:t xml:space="preserve">(4), 532-550.</w:t>
      </w:r>
    </w:p>
    <w:p w:rsidR="00000000" w:rsidDel="00000000" w:rsidP="00000000" w:rsidRDefault="00000000" w:rsidRPr="00000000" w14:paraId="00000095">
      <w:pPr>
        <w:widowControl w:val="1"/>
        <w:jc w:val="left"/>
        <w:rPr>
          <w:rFonts w:ascii="Arial" w:cs="Arial" w:eastAsia="Arial" w:hAnsi="Arial"/>
          <w:color w:val="222222"/>
          <w:sz w:val="20"/>
          <w:szCs w:val="20"/>
          <w:highlight w:val="white"/>
        </w:rPr>
      </w:pPr>
      <w:r w:rsidDel="00000000" w:rsidR="00000000" w:rsidRPr="00000000">
        <w:rPr>
          <w:rFonts w:ascii="Arial" w:cs="Arial" w:eastAsia="Arial" w:hAnsi="Arial"/>
          <w:color w:val="222222"/>
          <w:sz w:val="20"/>
          <w:szCs w:val="20"/>
          <w:highlight w:val="white"/>
          <w:rtl w:val="0"/>
        </w:rPr>
        <w:t xml:space="preserve">Eisenhardt, K. M., &amp; Graebner, M. E. (2007). Theory building from cases: Opportunities and challenges. </w:t>
      </w:r>
      <w:r w:rsidDel="00000000" w:rsidR="00000000" w:rsidRPr="00000000">
        <w:rPr>
          <w:rFonts w:ascii="Arial" w:cs="Arial" w:eastAsia="Arial" w:hAnsi="Arial"/>
          <w:i w:val="1"/>
          <w:color w:val="222222"/>
          <w:sz w:val="20"/>
          <w:szCs w:val="20"/>
          <w:highlight w:val="white"/>
          <w:rtl w:val="0"/>
        </w:rPr>
        <w:t xml:space="preserve">Academy of management journal</w:t>
      </w:r>
      <w:r w:rsidDel="00000000" w:rsidR="00000000" w:rsidRPr="00000000">
        <w:rPr>
          <w:rFonts w:ascii="Arial" w:cs="Arial" w:eastAsia="Arial" w:hAnsi="Arial"/>
          <w:color w:val="222222"/>
          <w:sz w:val="20"/>
          <w:szCs w:val="20"/>
          <w:highlight w:val="white"/>
          <w:rtl w:val="0"/>
        </w:rPr>
        <w:t xml:space="preserve">, </w:t>
      </w:r>
      <w:r w:rsidDel="00000000" w:rsidR="00000000" w:rsidRPr="00000000">
        <w:rPr>
          <w:rFonts w:ascii="Arial" w:cs="Arial" w:eastAsia="Arial" w:hAnsi="Arial"/>
          <w:i w:val="1"/>
          <w:color w:val="222222"/>
          <w:sz w:val="20"/>
          <w:szCs w:val="20"/>
          <w:highlight w:val="white"/>
          <w:rtl w:val="0"/>
        </w:rPr>
        <w:t xml:space="preserve">50</w:t>
      </w:r>
      <w:r w:rsidDel="00000000" w:rsidR="00000000" w:rsidRPr="00000000">
        <w:rPr>
          <w:rFonts w:ascii="Arial" w:cs="Arial" w:eastAsia="Arial" w:hAnsi="Arial"/>
          <w:color w:val="222222"/>
          <w:sz w:val="20"/>
          <w:szCs w:val="20"/>
          <w:highlight w:val="white"/>
          <w:rtl w:val="0"/>
        </w:rPr>
        <w:t xml:space="preserve">(1), 25-32.</w:t>
      </w:r>
    </w:p>
    <w:p w:rsidR="00000000" w:rsidDel="00000000" w:rsidP="00000000" w:rsidRDefault="00000000" w:rsidRPr="00000000" w14:paraId="00000096">
      <w:pPr>
        <w:widowControl w:val="1"/>
        <w:jc w:val="left"/>
        <w:rPr>
          <w:rFonts w:ascii="Times New Roman" w:cs="Times New Roman" w:eastAsia="Times New Roman" w:hAnsi="Times New Roman"/>
          <w:color w:val="222222"/>
          <w:sz w:val="20"/>
          <w:szCs w:val="20"/>
          <w:highlight w:val="white"/>
        </w:rPr>
      </w:pPr>
      <w:r w:rsidDel="00000000" w:rsidR="00000000" w:rsidRPr="00000000">
        <w:rPr>
          <w:rFonts w:ascii="Times New Roman" w:cs="Times New Roman" w:eastAsia="Times New Roman" w:hAnsi="Times New Roman"/>
          <w:color w:val="222222"/>
          <w:sz w:val="20"/>
          <w:szCs w:val="20"/>
          <w:highlight w:val="white"/>
          <w:rtl w:val="0"/>
        </w:rPr>
        <w:t xml:space="preserve">Gioia, D. A., &amp; Thomas, J. B. (1996). Identity, image, and issue interpretation: Sensemaking during strategic change in academia. </w:t>
      </w:r>
      <w:r w:rsidDel="00000000" w:rsidR="00000000" w:rsidRPr="00000000">
        <w:rPr>
          <w:rFonts w:ascii="Times New Roman" w:cs="Times New Roman" w:eastAsia="Times New Roman" w:hAnsi="Times New Roman"/>
          <w:i w:val="1"/>
          <w:color w:val="222222"/>
          <w:sz w:val="20"/>
          <w:szCs w:val="20"/>
          <w:highlight w:val="white"/>
          <w:rtl w:val="0"/>
        </w:rPr>
        <w:t xml:space="preserve">Administrative science quarterly</w:t>
      </w:r>
      <w:r w:rsidDel="00000000" w:rsidR="00000000" w:rsidRPr="00000000">
        <w:rPr>
          <w:rFonts w:ascii="Times New Roman" w:cs="Times New Roman" w:eastAsia="Times New Roman" w:hAnsi="Times New Roman"/>
          <w:color w:val="222222"/>
          <w:sz w:val="20"/>
          <w:szCs w:val="20"/>
          <w:highlight w:val="white"/>
          <w:rtl w:val="0"/>
        </w:rPr>
        <w:t xml:space="preserve">, 370-403.</w:t>
      </w:r>
    </w:p>
    <w:p w:rsidR="00000000" w:rsidDel="00000000" w:rsidP="00000000" w:rsidRDefault="00000000" w:rsidRPr="00000000" w14:paraId="00000097">
      <w:pPr>
        <w:rPr>
          <w:rFonts w:ascii="Times New Roman" w:cs="Times New Roman" w:eastAsia="Times New Roman" w:hAnsi="Times New Roman"/>
          <w:color w:val="222222"/>
          <w:sz w:val="20"/>
          <w:szCs w:val="20"/>
          <w:highlight w:val="white"/>
        </w:rPr>
      </w:pPr>
      <w:r w:rsidDel="00000000" w:rsidR="00000000" w:rsidRPr="00000000">
        <w:rPr>
          <w:rFonts w:ascii="Times New Roman" w:cs="Times New Roman" w:eastAsia="Times New Roman" w:hAnsi="Times New Roman"/>
          <w:color w:val="222222"/>
          <w:sz w:val="20"/>
          <w:szCs w:val="20"/>
          <w:highlight w:val="white"/>
          <w:rtl w:val="0"/>
        </w:rPr>
        <w:t xml:space="preserve">Hald, K. S. (2012). The role of boundary spanners in the formation of customer attractiveness. </w:t>
      </w:r>
      <w:r w:rsidDel="00000000" w:rsidR="00000000" w:rsidRPr="00000000">
        <w:rPr>
          <w:rFonts w:ascii="Times New Roman" w:cs="Times New Roman" w:eastAsia="Times New Roman" w:hAnsi="Times New Roman"/>
          <w:i w:val="1"/>
          <w:color w:val="222222"/>
          <w:sz w:val="20"/>
          <w:szCs w:val="20"/>
          <w:highlight w:val="white"/>
          <w:rtl w:val="0"/>
        </w:rPr>
        <w:t xml:space="preserve">Industrial Marketing Management</w:t>
      </w:r>
      <w:r w:rsidDel="00000000" w:rsidR="00000000" w:rsidRPr="00000000">
        <w:rPr>
          <w:rFonts w:ascii="Times New Roman" w:cs="Times New Roman" w:eastAsia="Times New Roman" w:hAnsi="Times New Roman"/>
          <w:color w:val="222222"/>
          <w:sz w:val="20"/>
          <w:szCs w:val="20"/>
          <w:highlight w:val="white"/>
          <w:rtl w:val="0"/>
        </w:rPr>
        <w:t xml:space="preserve">, </w:t>
      </w:r>
      <w:r w:rsidDel="00000000" w:rsidR="00000000" w:rsidRPr="00000000">
        <w:rPr>
          <w:rFonts w:ascii="Times New Roman" w:cs="Times New Roman" w:eastAsia="Times New Roman" w:hAnsi="Times New Roman"/>
          <w:i w:val="1"/>
          <w:color w:val="222222"/>
          <w:sz w:val="20"/>
          <w:szCs w:val="20"/>
          <w:highlight w:val="white"/>
          <w:rtl w:val="0"/>
        </w:rPr>
        <w:t xml:space="preserve">41</w:t>
      </w:r>
      <w:r w:rsidDel="00000000" w:rsidR="00000000" w:rsidRPr="00000000">
        <w:rPr>
          <w:rFonts w:ascii="Times New Roman" w:cs="Times New Roman" w:eastAsia="Times New Roman" w:hAnsi="Times New Roman"/>
          <w:color w:val="222222"/>
          <w:sz w:val="20"/>
          <w:szCs w:val="20"/>
          <w:highlight w:val="white"/>
          <w:rtl w:val="0"/>
        </w:rPr>
        <w:t xml:space="preserve">(8), 1228-1240.</w:t>
      </w:r>
    </w:p>
    <w:p w:rsidR="00000000" w:rsidDel="00000000" w:rsidP="00000000" w:rsidRDefault="00000000" w:rsidRPr="00000000" w14:paraId="00000098">
      <w:pPr>
        <w:rPr>
          <w:rFonts w:ascii="Times New Roman" w:cs="Times New Roman" w:eastAsia="Times New Roman" w:hAnsi="Times New Roman"/>
          <w:color w:val="222222"/>
          <w:sz w:val="20"/>
          <w:szCs w:val="20"/>
          <w:highlight w:val="white"/>
        </w:rPr>
      </w:pPr>
      <w:r w:rsidDel="00000000" w:rsidR="00000000" w:rsidRPr="00000000">
        <w:rPr>
          <w:rFonts w:ascii="Arial" w:cs="Arial" w:eastAsia="Arial" w:hAnsi="Arial"/>
          <w:color w:val="222222"/>
          <w:sz w:val="20"/>
          <w:szCs w:val="20"/>
          <w:highlight w:val="white"/>
          <w:rtl w:val="0"/>
        </w:rPr>
        <w:t xml:space="preserve">Henneberg, S. C., Naudé, P., &amp; Mouzas, S. (2010). Sense-making and management in business networks—Some observations, considerations, and a research agenda. </w:t>
      </w:r>
      <w:r w:rsidDel="00000000" w:rsidR="00000000" w:rsidRPr="00000000">
        <w:rPr>
          <w:rFonts w:ascii="Arial" w:cs="Arial" w:eastAsia="Arial" w:hAnsi="Arial"/>
          <w:i w:val="1"/>
          <w:color w:val="222222"/>
          <w:sz w:val="20"/>
          <w:szCs w:val="20"/>
          <w:highlight w:val="white"/>
          <w:rtl w:val="0"/>
        </w:rPr>
        <w:t xml:space="preserve">Industrial Marketing Management</w:t>
      </w:r>
      <w:r w:rsidDel="00000000" w:rsidR="00000000" w:rsidRPr="00000000">
        <w:rPr>
          <w:rFonts w:ascii="Arial" w:cs="Arial" w:eastAsia="Arial" w:hAnsi="Arial"/>
          <w:color w:val="222222"/>
          <w:sz w:val="20"/>
          <w:szCs w:val="20"/>
          <w:highlight w:val="white"/>
          <w:rtl w:val="0"/>
        </w:rPr>
        <w:t xml:space="preserve">, </w:t>
      </w:r>
      <w:r w:rsidDel="00000000" w:rsidR="00000000" w:rsidRPr="00000000">
        <w:rPr>
          <w:rFonts w:ascii="Arial" w:cs="Arial" w:eastAsia="Arial" w:hAnsi="Arial"/>
          <w:i w:val="1"/>
          <w:color w:val="222222"/>
          <w:sz w:val="20"/>
          <w:szCs w:val="20"/>
          <w:highlight w:val="white"/>
          <w:rtl w:val="0"/>
        </w:rPr>
        <w:t xml:space="preserve">39</w:t>
      </w:r>
      <w:r w:rsidDel="00000000" w:rsidR="00000000" w:rsidRPr="00000000">
        <w:rPr>
          <w:rFonts w:ascii="Arial" w:cs="Arial" w:eastAsia="Arial" w:hAnsi="Arial"/>
          <w:color w:val="222222"/>
          <w:sz w:val="20"/>
          <w:szCs w:val="20"/>
          <w:highlight w:val="white"/>
          <w:rtl w:val="0"/>
        </w:rPr>
        <w:t xml:space="preserve">(3), 355-360.</w:t>
      </w:r>
      <w:r w:rsidDel="00000000" w:rsidR="00000000" w:rsidRPr="00000000">
        <w:rPr>
          <w:rtl w:val="0"/>
        </w:rPr>
      </w:r>
    </w:p>
    <w:p w:rsidR="00000000" w:rsidDel="00000000" w:rsidP="00000000" w:rsidRDefault="00000000" w:rsidRPr="00000000" w14:paraId="00000099">
      <w:pPr>
        <w:rPr>
          <w:rFonts w:ascii="Times New Roman" w:cs="Times New Roman" w:eastAsia="Times New Roman" w:hAnsi="Times New Roman"/>
          <w:color w:val="222222"/>
          <w:sz w:val="20"/>
          <w:szCs w:val="20"/>
          <w:highlight w:val="white"/>
        </w:rPr>
      </w:pPr>
      <w:r w:rsidDel="00000000" w:rsidR="00000000" w:rsidRPr="00000000">
        <w:rPr>
          <w:rFonts w:ascii="Times New Roman" w:cs="Times New Roman" w:eastAsia="Times New Roman" w:hAnsi="Times New Roman"/>
          <w:color w:val="222222"/>
          <w:sz w:val="20"/>
          <w:szCs w:val="20"/>
          <w:highlight w:val="white"/>
          <w:rtl w:val="0"/>
        </w:rPr>
        <w:t xml:space="preserve">Johnson, G., Melin, L., &amp; Whittington, R. (2003). Micro strategy and strategizing: towards an activity‐based view. </w:t>
      </w:r>
      <w:r w:rsidDel="00000000" w:rsidR="00000000" w:rsidRPr="00000000">
        <w:rPr>
          <w:rFonts w:ascii="Times New Roman" w:cs="Times New Roman" w:eastAsia="Times New Roman" w:hAnsi="Times New Roman"/>
          <w:i w:val="1"/>
          <w:color w:val="222222"/>
          <w:sz w:val="20"/>
          <w:szCs w:val="20"/>
          <w:highlight w:val="white"/>
          <w:rtl w:val="0"/>
        </w:rPr>
        <w:t xml:space="preserve">Journal of management studies</w:t>
      </w:r>
      <w:r w:rsidDel="00000000" w:rsidR="00000000" w:rsidRPr="00000000">
        <w:rPr>
          <w:rFonts w:ascii="Times New Roman" w:cs="Times New Roman" w:eastAsia="Times New Roman" w:hAnsi="Times New Roman"/>
          <w:color w:val="222222"/>
          <w:sz w:val="20"/>
          <w:szCs w:val="20"/>
          <w:highlight w:val="white"/>
          <w:rtl w:val="0"/>
        </w:rPr>
        <w:t xml:space="preserve">, </w:t>
      </w:r>
      <w:r w:rsidDel="00000000" w:rsidR="00000000" w:rsidRPr="00000000">
        <w:rPr>
          <w:rFonts w:ascii="Times New Roman" w:cs="Times New Roman" w:eastAsia="Times New Roman" w:hAnsi="Times New Roman"/>
          <w:i w:val="1"/>
          <w:color w:val="222222"/>
          <w:sz w:val="20"/>
          <w:szCs w:val="20"/>
          <w:highlight w:val="white"/>
          <w:rtl w:val="0"/>
        </w:rPr>
        <w:t xml:space="preserve">40</w:t>
      </w:r>
      <w:r w:rsidDel="00000000" w:rsidR="00000000" w:rsidRPr="00000000">
        <w:rPr>
          <w:rFonts w:ascii="Times New Roman" w:cs="Times New Roman" w:eastAsia="Times New Roman" w:hAnsi="Times New Roman"/>
          <w:color w:val="222222"/>
          <w:sz w:val="20"/>
          <w:szCs w:val="20"/>
          <w:highlight w:val="white"/>
          <w:rtl w:val="0"/>
        </w:rPr>
        <w:t xml:space="preserve">(1), 3-22.</w:t>
      </w:r>
    </w:p>
    <w:p w:rsidR="00000000" w:rsidDel="00000000" w:rsidP="00000000" w:rsidRDefault="00000000" w:rsidRPr="00000000" w14:paraId="0000009A">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B">
      <w:pPr>
        <w:widowControl w:val="1"/>
        <w:jc w:val="left"/>
        <w:rPr>
          <w:rFonts w:ascii="Times New Roman" w:cs="Times New Roman" w:eastAsia="Times New Roman" w:hAnsi="Times New Roman"/>
          <w:color w:val="222222"/>
          <w:sz w:val="20"/>
          <w:szCs w:val="20"/>
          <w:highlight w:val="white"/>
        </w:rPr>
      </w:pPr>
      <w:r w:rsidDel="00000000" w:rsidR="00000000" w:rsidRPr="00000000">
        <w:rPr>
          <w:rFonts w:ascii="Times New Roman" w:cs="Times New Roman" w:eastAsia="Times New Roman" w:hAnsi="Times New Roman"/>
          <w:color w:val="222222"/>
          <w:sz w:val="20"/>
          <w:szCs w:val="20"/>
          <w:highlight w:val="white"/>
          <w:rtl w:val="0"/>
        </w:rPr>
        <w:t xml:space="preserve">Katz, D., &amp; Kahn, R. L. (1966). </w:t>
      </w:r>
      <w:r w:rsidDel="00000000" w:rsidR="00000000" w:rsidRPr="00000000">
        <w:rPr>
          <w:rFonts w:ascii="Times New Roman" w:cs="Times New Roman" w:eastAsia="Times New Roman" w:hAnsi="Times New Roman"/>
          <w:i w:val="1"/>
          <w:color w:val="222222"/>
          <w:sz w:val="20"/>
          <w:szCs w:val="20"/>
          <w:highlight w:val="white"/>
          <w:rtl w:val="0"/>
        </w:rPr>
        <w:t xml:space="preserve">Ths social psychology of organizations</w:t>
      </w:r>
      <w:r w:rsidDel="00000000" w:rsidR="00000000" w:rsidRPr="00000000">
        <w:rPr>
          <w:rFonts w:ascii="Times New Roman" w:cs="Times New Roman" w:eastAsia="Times New Roman" w:hAnsi="Times New Roman"/>
          <w:color w:val="222222"/>
          <w:sz w:val="20"/>
          <w:szCs w:val="20"/>
          <w:highlight w:val="white"/>
          <w:rtl w:val="0"/>
        </w:rPr>
        <w:t xml:space="preserve">. Wiley.</w:t>
      </w:r>
    </w:p>
    <w:p w:rsidR="00000000" w:rsidDel="00000000" w:rsidP="00000000" w:rsidRDefault="00000000" w:rsidRPr="00000000" w14:paraId="0000009C">
      <w:pPr>
        <w:widowControl w:val="1"/>
        <w:jc w:val="left"/>
        <w:rPr>
          <w:rFonts w:ascii="Times New Roman" w:cs="Times New Roman" w:eastAsia="Times New Roman" w:hAnsi="Times New Roman"/>
          <w:color w:val="222222"/>
          <w:sz w:val="20"/>
          <w:szCs w:val="20"/>
          <w:highlight w:val="white"/>
        </w:rPr>
      </w:pPr>
      <w:r w:rsidDel="00000000" w:rsidR="00000000" w:rsidRPr="00000000">
        <w:rPr>
          <w:rFonts w:ascii="Times New Roman" w:cs="Times New Roman" w:eastAsia="Times New Roman" w:hAnsi="Times New Roman"/>
          <w:color w:val="222222"/>
          <w:sz w:val="20"/>
          <w:szCs w:val="20"/>
          <w:highlight w:val="white"/>
          <w:rtl w:val="0"/>
        </w:rPr>
        <w:t xml:space="preserve">Kerr, N. L., &amp; Tindale, R. S. (2004). Group performance and decision making. </w:t>
      </w:r>
      <w:r w:rsidDel="00000000" w:rsidR="00000000" w:rsidRPr="00000000">
        <w:rPr>
          <w:rFonts w:ascii="Times New Roman" w:cs="Times New Roman" w:eastAsia="Times New Roman" w:hAnsi="Times New Roman"/>
          <w:i w:val="1"/>
          <w:color w:val="222222"/>
          <w:sz w:val="20"/>
          <w:szCs w:val="20"/>
          <w:highlight w:val="white"/>
          <w:rtl w:val="0"/>
        </w:rPr>
        <w:t xml:space="preserve">Annu. Rev. Psychol.</w:t>
      </w:r>
      <w:r w:rsidDel="00000000" w:rsidR="00000000" w:rsidRPr="00000000">
        <w:rPr>
          <w:rFonts w:ascii="Times New Roman" w:cs="Times New Roman" w:eastAsia="Times New Roman" w:hAnsi="Times New Roman"/>
          <w:color w:val="222222"/>
          <w:sz w:val="20"/>
          <w:szCs w:val="20"/>
          <w:highlight w:val="white"/>
          <w:rtl w:val="0"/>
        </w:rPr>
        <w:t xml:space="preserve">, </w:t>
      </w:r>
      <w:r w:rsidDel="00000000" w:rsidR="00000000" w:rsidRPr="00000000">
        <w:rPr>
          <w:rFonts w:ascii="Times New Roman" w:cs="Times New Roman" w:eastAsia="Times New Roman" w:hAnsi="Times New Roman"/>
          <w:i w:val="1"/>
          <w:color w:val="222222"/>
          <w:sz w:val="20"/>
          <w:szCs w:val="20"/>
          <w:highlight w:val="white"/>
          <w:rtl w:val="0"/>
        </w:rPr>
        <w:t xml:space="preserve">55</w:t>
      </w:r>
      <w:r w:rsidDel="00000000" w:rsidR="00000000" w:rsidRPr="00000000">
        <w:rPr>
          <w:rFonts w:ascii="Times New Roman" w:cs="Times New Roman" w:eastAsia="Times New Roman" w:hAnsi="Times New Roman"/>
          <w:color w:val="222222"/>
          <w:sz w:val="20"/>
          <w:szCs w:val="20"/>
          <w:highlight w:val="white"/>
          <w:rtl w:val="0"/>
        </w:rPr>
        <w:t xml:space="preserve">, 623-655.</w:t>
      </w:r>
    </w:p>
    <w:p w:rsidR="00000000" w:rsidDel="00000000" w:rsidP="00000000" w:rsidRDefault="00000000" w:rsidRPr="00000000" w14:paraId="0000009D">
      <w:pPr>
        <w:widowControl w:val="1"/>
        <w:jc w:val="left"/>
        <w:rPr>
          <w:rFonts w:ascii="Times New Roman" w:cs="Times New Roman" w:eastAsia="Times New Roman" w:hAnsi="Times New Roman"/>
          <w:color w:val="222222"/>
          <w:sz w:val="20"/>
          <w:szCs w:val="20"/>
          <w:highlight w:val="white"/>
        </w:rPr>
      </w:pPr>
      <w:r w:rsidDel="00000000" w:rsidR="00000000" w:rsidRPr="00000000">
        <w:rPr>
          <w:rFonts w:ascii="Times New Roman" w:cs="Times New Roman" w:eastAsia="Times New Roman" w:hAnsi="Times New Roman"/>
          <w:color w:val="222222"/>
          <w:sz w:val="20"/>
          <w:szCs w:val="20"/>
          <w:highlight w:val="white"/>
          <w:rtl w:val="0"/>
        </w:rPr>
        <w:t xml:space="preserve">Maitlis, S., &amp; Sonenshein, S. (2010). Sensemaking in crisis and change: Inspiration and insights from Weick (1988). </w:t>
      </w:r>
      <w:r w:rsidDel="00000000" w:rsidR="00000000" w:rsidRPr="00000000">
        <w:rPr>
          <w:rFonts w:ascii="Times New Roman" w:cs="Times New Roman" w:eastAsia="Times New Roman" w:hAnsi="Times New Roman"/>
          <w:i w:val="1"/>
          <w:color w:val="222222"/>
          <w:sz w:val="20"/>
          <w:szCs w:val="20"/>
          <w:highlight w:val="white"/>
          <w:rtl w:val="0"/>
        </w:rPr>
        <w:t xml:space="preserve">Journal of management studies</w:t>
      </w:r>
      <w:r w:rsidDel="00000000" w:rsidR="00000000" w:rsidRPr="00000000">
        <w:rPr>
          <w:rFonts w:ascii="Times New Roman" w:cs="Times New Roman" w:eastAsia="Times New Roman" w:hAnsi="Times New Roman"/>
          <w:color w:val="222222"/>
          <w:sz w:val="20"/>
          <w:szCs w:val="20"/>
          <w:highlight w:val="white"/>
          <w:rtl w:val="0"/>
        </w:rPr>
        <w:t xml:space="preserve">, </w:t>
      </w:r>
      <w:r w:rsidDel="00000000" w:rsidR="00000000" w:rsidRPr="00000000">
        <w:rPr>
          <w:rFonts w:ascii="Times New Roman" w:cs="Times New Roman" w:eastAsia="Times New Roman" w:hAnsi="Times New Roman"/>
          <w:i w:val="1"/>
          <w:color w:val="222222"/>
          <w:sz w:val="20"/>
          <w:szCs w:val="20"/>
          <w:highlight w:val="white"/>
          <w:rtl w:val="0"/>
        </w:rPr>
        <w:t xml:space="preserve">47</w:t>
      </w:r>
      <w:r w:rsidDel="00000000" w:rsidR="00000000" w:rsidRPr="00000000">
        <w:rPr>
          <w:rFonts w:ascii="Times New Roman" w:cs="Times New Roman" w:eastAsia="Times New Roman" w:hAnsi="Times New Roman"/>
          <w:color w:val="222222"/>
          <w:sz w:val="20"/>
          <w:szCs w:val="20"/>
          <w:highlight w:val="white"/>
          <w:rtl w:val="0"/>
        </w:rPr>
        <w:t xml:space="preserve">(3), 551-580.</w:t>
      </w:r>
    </w:p>
    <w:p w:rsidR="00000000" w:rsidDel="00000000" w:rsidP="00000000" w:rsidRDefault="00000000" w:rsidRPr="00000000" w14:paraId="0000009E">
      <w:pPr>
        <w:widowControl w:val="1"/>
        <w:jc w:val="left"/>
        <w:rPr>
          <w:rFonts w:ascii="Times New Roman" w:cs="Times New Roman" w:eastAsia="Times New Roman" w:hAnsi="Times New Roman"/>
          <w:color w:val="222222"/>
          <w:sz w:val="20"/>
          <w:szCs w:val="20"/>
          <w:highlight w:val="white"/>
        </w:rPr>
      </w:pPr>
      <w:r w:rsidDel="00000000" w:rsidR="00000000" w:rsidRPr="00000000">
        <w:rPr>
          <w:rFonts w:ascii="Times New Roman" w:cs="Times New Roman" w:eastAsia="Times New Roman" w:hAnsi="Times New Roman"/>
          <w:color w:val="222222"/>
          <w:sz w:val="20"/>
          <w:szCs w:val="20"/>
          <w:highlight w:val="white"/>
          <w:rtl w:val="0"/>
        </w:rPr>
        <w:t xml:space="preserve">Maitlis, S., &amp; Christianson, M. (2014). Sensemaking in organizations: Taking stock and moving forward. </w:t>
      </w:r>
      <w:r w:rsidDel="00000000" w:rsidR="00000000" w:rsidRPr="00000000">
        <w:rPr>
          <w:rFonts w:ascii="Times New Roman" w:cs="Times New Roman" w:eastAsia="Times New Roman" w:hAnsi="Times New Roman"/>
          <w:i w:val="1"/>
          <w:color w:val="222222"/>
          <w:sz w:val="20"/>
          <w:szCs w:val="20"/>
          <w:highlight w:val="white"/>
          <w:rtl w:val="0"/>
        </w:rPr>
        <w:t xml:space="preserve">Academy of management annals</w:t>
      </w:r>
      <w:r w:rsidDel="00000000" w:rsidR="00000000" w:rsidRPr="00000000">
        <w:rPr>
          <w:rFonts w:ascii="Times New Roman" w:cs="Times New Roman" w:eastAsia="Times New Roman" w:hAnsi="Times New Roman"/>
          <w:color w:val="222222"/>
          <w:sz w:val="20"/>
          <w:szCs w:val="20"/>
          <w:highlight w:val="white"/>
          <w:rtl w:val="0"/>
        </w:rPr>
        <w:t xml:space="preserve">, </w:t>
      </w:r>
      <w:r w:rsidDel="00000000" w:rsidR="00000000" w:rsidRPr="00000000">
        <w:rPr>
          <w:rFonts w:ascii="Times New Roman" w:cs="Times New Roman" w:eastAsia="Times New Roman" w:hAnsi="Times New Roman"/>
          <w:i w:val="1"/>
          <w:color w:val="222222"/>
          <w:sz w:val="20"/>
          <w:szCs w:val="20"/>
          <w:highlight w:val="white"/>
          <w:rtl w:val="0"/>
        </w:rPr>
        <w:t xml:space="preserve">8</w:t>
      </w:r>
      <w:r w:rsidDel="00000000" w:rsidR="00000000" w:rsidRPr="00000000">
        <w:rPr>
          <w:rFonts w:ascii="Times New Roman" w:cs="Times New Roman" w:eastAsia="Times New Roman" w:hAnsi="Times New Roman"/>
          <w:color w:val="222222"/>
          <w:sz w:val="20"/>
          <w:szCs w:val="20"/>
          <w:highlight w:val="white"/>
          <w:rtl w:val="0"/>
        </w:rPr>
        <w:t xml:space="preserve">(1), 57-125.</w:t>
      </w:r>
    </w:p>
    <w:p w:rsidR="00000000" w:rsidDel="00000000" w:rsidP="00000000" w:rsidRDefault="00000000" w:rsidRPr="00000000" w14:paraId="0000009F">
      <w:pPr>
        <w:widowControl w:val="1"/>
        <w:jc w:val="left"/>
        <w:rPr>
          <w:rFonts w:ascii="Times New Roman" w:cs="Times New Roman" w:eastAsia="Times New Roman" w:hAnsi="Times New Roman"/>
          <w:color w:val="222222"/>
          <w:sz w:val="20"/>
          <w:szCs w:val="20"/>
          <w:highlight w:val="white"/>
        </w:rPr>
      </w:pPr>
      <w:r w:rsidDel="00000000" w:rsidR="00000000" w:rsidRPr="00000000">
        <w:rPr>
          <w:rFonts w:ascii="Times New Roman" w:cs="Times New Roman" w:eastAsia="Times New Roman" w:hAnsi="Times New Roman"/>
          <w:color w:val="222222"/>
          <w:sz w:val="20"/>
          <w:szCs w:val="20"/>
          <w:highlight w:val="white"/>
          <w:rtl w:val="0"/>
        </w:rPr>
        <w:t xml:space="preserve">Melo, N., Dourado, D., &amp; Andrade, J. (2021). Reclaiming cognitive crafting: An integrative model of behavioral and cognitive practices in job crafting. </w:t>
      </w:r>
      <w:r w:rsidDel="00000000" w:rsidR="00000000" w:rsidRPr="00000000">
        <w:rPr>
          <w:rFonts w:ascii="Times New Roman" w:cs="Times New Roman" w:eastAsia="Times New Roman" w:hAnsi="Times New Roman"/>
          <w:i w:val="1"/>
          <w:color w:val="222222"/>
          <w:sz w:val="20"/>
          <w:szCs w:val="20"/>
          <w:highlight w:val="white"/>
          <w:rtl w:val="0"/>
        </w:rPr>
        <w:t xml:space="preserve">International Journal of Organizational Analysis</w:t>
      </w:r>
      <w:r w:rsidDel="00000000" w:rsidR="00000000" w:rsidRPr="00000000">
        <w:rPr>
          <w:rFonts w:ascii="Times New Roman" w:cs="Times New Roman" w:eastAsia="Times New Roman" w:hAnsi="Times New Roman"/>
          <w:color w:val="222222"/>
          <w:sz w:val="20"/>
          <w:szCs w:val="20"/>
          <w:highlight w:val="white"/>
          <w:rtl w:val="0"/>
        </w:rPr>
        <w:t xml:space="preserve">, </w:t>
      </w:r>
      <w:r w:rsidDel="00000000" w:rsidR="00000000" w:rsidRPr="00000000">
        <w:rPr>
          <w:rFonts w:ascii="Times New Roman" w:cs="Times New Roman" w:eastAsia="Times New Roman" w:hAnsi="Times New Roman"/>
          <w:i w:val="1"/>
          <w:color w:val="222222"/>
          <w:sz w:val="20"/>
          <w:szCs w:val="20"/>
          <w:highlight w:val="white"/>
          <w:rtl w:val="0"/>
        </w:rPr>
        <w:t xml:space="preserve">29</w:t>
      </w:r>
      <w:r w:rsidDel="00000000" w:rsidR="00000000" w:rsidRPr="00000000">
        <w:rPr>
          <w:rFonts w:ascii="Times New Roman" w:cs="Times New Roman" w:eastAsia="Times New Roman" w:hAnsi="Times New Roman"/>
          <w:color w:val="222222"/>
          <w:sz w:val="20"/>
          <w:szCs w:val="20"/>
          <w:highlight w:val="white"/>
          <w:rtl w:val="0"/>
        </w:rPr>
        <w:t xml:space="preserve">(5), 1302-1320.</w:t>
      </w:r>
    </w:p>
    <w:p w:rsidR="00000000" w:rsidDel="00000000" w:rsidP="00000000" w:rsidRDefault="00000000" w:rsidRPr="00000000" w14:paraId="000000A0">
      <w:pPr>
        <w:widowControl w:val="1"/>
        <w:jc w:val="left"/>
        <w:rPr>
          <w:rFonts w:ascii="Times New Roman" w:cs="Times New Roman" w:eastAsia="Times New Roman" w:hAnsi="Times New Roman"/>
          <w:color w:val="222222"/>
          <w:sz w:val="20"/>
          <w:szCs w:val="20"/>
          <w:highlight w:val="white"/>
        </w:rPr>
      </w:pPr>
      <w:r w:rsidDel="00000000" w:rsidR="00000000" w:rsidRPr="00000000">
        <w:rPr>
          <w:rFonts w:ascii="Times New Roman" w:cs="Times New Roman" w:eastAsia="Times New Roman" w:hAnsi="Times New Roman"/>
          <w:color w:val="222222"/>
          <w:sz w:val="20"/>
          <w:szCs w:val="20"/>
          <w:highlight w:val="white"/>
          <w:rtl w:val="0"/>
        </w:rPr>
        <w:t xml:space="preserve">Meyer, J. W., &amp; Rowan, B. (1977). Institutionalized organizations: Formal structure as myth and ceremony. </w:t>
      </w:r>
      <w:r w:rsidDel="00000000" w:rsidR="00000000" w:rsidRPr="00000000">
        <w:rPr>
          <w:rFonts w:ascii="Times New Roman" w:cs="Times New Roman" w:eastAsia="Times New Roman" w:hAnsi="Times New Roman"/>
          <w:i w:val="1"/>
          <w:color w:val="222222"/>
          <w:sz w:val="20"/>
          <w:szCs w:val="20"/>
          <w:highlight w:val="white"/>
          <w:rtl w:val="0"/>
        </w:rPr>
        <w:t xml:space="preserve">American journal of sociology</w:t>
      </w:r>
      <w:r w:rsidDel="00000000" w:rsidR="00000000" w:rsidRPr="00000000">
        <w:rPr>
          <w:rFonts w:ascii="Times New Roman" w:cs="Times New Roman" w:eastAsia="Times New Roman" w:hAnsi="Times New Roman"/>
          <w:color w:val="222222"/>
          <w:sz w:val="20"/>
          <w:szCs w:val="20"/>
          <w:highlight w:val="white"/>
          <w:rtl w:val="0"/>
        </w:rPr>
        <w:t xml:space="preserve">, </w:t>
      </w:r>
      <w:r w:rsidDel="00000000" w:rsidR="00000000" w:rsidRPr="00000000">
        <w:rPr>
          <w:rFonts w:ascii="Times New Roman" w:cs="Times New Roman" w:eastAsia="Times New Roman" w:hAnsi="Times New Roman"/>
          <w:i w:val="1"/>
          <w:color w:val="222222"/>
          <w:sz w:val="20"/>
          <w:szCs w:val="20"/>
          <w:highlight w:val="white"/>
          <w:rtl w:val="0"/>
        </w:rPr>
        <w:t xml:space="preserve">83</w:t>
      </w:r>
      <w:r w:rsidDel="00000000" w:rsidR="00000000" w:rsidRPr="00000000">
        <w:rPr>
          <w:rFonts w:ascii="Times New Roman" w:cs="Times New Roman" w:eastAsia="Times New Roman" w:hAnsi="Times New Roman"/>
          <w:color w:val="222222"/>
          <w:sz w:val="20"/>
          <w:szCs w:val="20"/>
          <w:highlight w:val="white"/>
          <w:rtl w:val="0"/>
        </w:rPr>
        <w:t xml:space="preserve">(2), 340-363.</w:t>
      </w:r>
    </w:p>
    <w:p w:rsidR="00000000" w:rsidDel="00000000" w:rsidP="00000000" w:rsidRDefault="00000000" w:rsidRPr="00000000" w14:paraId="000000A1">
      <w:pPr>
        <w:widowControl w:val="1"/>
        <w:jc w:val="left"/>
        <w:rPr>
          <w:rFonts w:ascii="Times New Roman" w:cs="Times New Roman" w:eastAsia="Times New Roman" w:hAnsi="Times New Roman"/>
          <w:color w:val="222222"/>
          <w:sz w:val="20"/>
          <w:szCs w:val="20"/>
          <w:highlight w:val="white"/>
        </w:rPr>
      </w:pPr>
      <w:r w:rsidDel="00000000" w:rsidR="00000000" w:rsidRPr="00000000">
        <w:rPr>
          <w:rFonts w:ascii="Times New Roman" w:cs="Times New Roman" w:eastAsia="Times New Roman" w:hAnsi="Times New Roman"/>
          <w:color w:val="222222"/>
          <w:sz w:val="20"/>
          <w:szCs w:val="20"/>
          <w:highlight w:val="white"/>
          <w:rtl w:val="0"/>
        </w:rPr>
        <w:t xml:space="preserve">Nemeth, C. J. (1986). Differential contributions of majority and minority influence. </w:t>
      </w:r>
      <w:r w:rsidDel="00000000" w:rsidR="00000000" w:rsidRPr="00000000">
        <w:rPr>
          <w:rFonts w:ascii="Times New Roman" w:cs="Times New Roman" w:eastAsia="Times New Roman" w:hAnsi="Times New Roman"/>
          <w:i w:val="1"/>
          <w:color w:val="222222"/>
          <w:sz w:val="20"/>
          <w:szCs w:val="20"/>
          <w:highlight w:val="white"/>
          <w:rtl w:val="0"/>
        </w:rPr>
        <w:t xml:space="preserve">Psychological review</w:t>
      </w:r>
      <w:r w:rsidDel="00000000" w:rsidR="00000000" w:rsidRPr="00000000">
        <w:rPr>
          <w:rFonts w:ascii="Times New Roman" w:cs="Times New Roman" w:eastAsia="Times New Roman" w:hAnsi="Times New Roman"/>
          <w:color w:val="222222"/>
          <w:sz w:val="20"/>
          <w:szCs w:val="20"/>
          <w:highlight w:val="white"/>
          <w:rtl w:val="0"/>
        </w:rPr>
        <w:t xml:space="preserve">, </w:t>
      </w:r>
      <w:r w:rsidDel="00000000" w:rsidR="00000000" w:rsidRPr="00000000">
        <w:rPr>
          <w:rFonts w:ascii="Times New Roman" w:cs="Times New Roman" w:eastAsia="Times New Roman" w:hAnsi="Times New Roman"/>
          <w:i w:val="1"/>
          <w:color w:val="222222"/>
          <w:sz w:val="20"/>
          <w:szCs w:val="20"/>
          <w:highlight w:val="white"/>
          <w:rtl w:val="0"/>
        </w:rPr>
        <w:t xml:space="preserve">93</w:t>
      </w:r>
      <w:r w:rsidDel="00000000" w:rsidR="00000000" w:rsidRPr="00000000">
        <w:rPr>
          <w:rFonts w:ascii="Times New Roman" w:cs="Times New Roman" w:eastAsia="Times New Roman" w:hAnsi="Times New Roman"/>
          <w:color w:val="222222"/>
          <w:sz w:val="20"/>
          <w:szCs w:val="20"/>
          <w:highlight w:val="white"/>
          <w:rtl w:val="0"/>
        </w:rPr>
        <w:t xml:space="preserve">(1), 23.</w:t>
      </w:r>
    </w:p>
    <w:p w:rsidR="00000000" w:rsidDel="00000000" w:rsidP="00000000" w:rsidRDefault="00000000" w:rsidRPr="00000000" w14:paraId="000000A2">
      <w:pPr>
        <w:widowControl w:val="1"/>
        <w:jc w:val="left"/>
        <w:rPr>
          <w:rFonts w:ascii="Times New Roman" w:cs="Times New Roman" w:eastAsia="Times New Roman" w:hAnsi="Times New Roman"/>
          <w:color w:val="222222"/>
          <w:sz w:val="20"/>
          <w:szCs w:val="20"/>
          <w:highlight w:val="white"/>
        </w:rPr>
      </w:pPr>
      <w:r w:rsidDel="00000000" w:rsidR="00000000" w:rsidRPr="00000000">
        <w:rPr>
          <w:rFonts w:ascii="Arial" w:cs="Arial" w:eastAsia="Arial" w:hAnsi="Arial"/>
          <w:color w:val="222222"/>
          <w:sz w:val="20"/>
          <w:szCs w:val="20"/>
          <w:highlight w:val="white"/>
          <w:rtl w:val="0"/>
        </w:rPr>
        <w:t xml:space="preserve">Petty, R. E., Cacioppo, J. T., Petty, R. E., &amp; Cacioppo, J. T. (1986). </w:t>
      </w:r>
      <w:r w:rsidDel="00000000" w:rsidR="00000000" w:rsidRPr="00000000">
        <w:rPr>
          <w:rFonts w:ascii="Arial" w:cs="Arial" w:eastAsia="Arial" w:hAnsi="Arial"/>
          <w:i w:val="1"/>
          <w:color w:val="222222"/>
          <w:sz w:val="20"/>
          <w:szCs w:val="20"/>
          <w:highlight w:val="white"/>
          <w:rtl w:val="0"/>
        </w:rPr>
        <w:t xml:space="preserve">The elaboration likelihood model of persuasion</w:t>
      </w:r>
      <w:r w:rsidDel="00000000" w:rsidR="00000000" w:rsidRPr="00000000">
        <w:rPr>
          <w:rFonts w:ascii="Arial" w:cs="Arial" w:eastAsia="Arial" w:hAnsi="Arial"/>
          <w:color w:val="222222"/>
          <w:sz w:val="20"/>
          <w:szCs w:val="20"/>
          <w:highlight w:val="white"/>
          <w:rtl w:val="0"/>
        </w:rPr>
        <w:t xml:space="preserve"> (pp. 1-24). Springer New York.</w:t>
      </w:r>
      <w:r w:rsidDel="00000000" w:rsidR="00000000" w:rsidRPr="00000000">
        <w:rPr>
          <w:rtl w:val="0"/>
        </w:rPr>
      </w:r>
    </w:p>
    <w:p w:rsidR="00000000" w:rsidDel="00000000" w:rsidP="00000000" w:rsidRDefault="00000000" w:rsidRPr="00000000" w14:paraId="000000A3">
      <w:pPr>
        <w:widowControl w:val="1"/>
        <w:jc w:val="left"/>
        <w:rPr>
          <w:rFonts w:ascii="Times New Roman" w:cs="Times New Roman" w:eastAsia="Times New Roman" w:hAnsi="Times New Roman"/>
          <w:color w:val="222222"/>
          <w:sz w:val="20"/>
          <w:szCs w:val="20"/>
          <w:highlight w:val="white"/>
        </w:rPr>
      </w:pPr>
      <w:r w:rsidDel="00000000" w:rsidR="00000000" w:rsidRPr="00000000">
        <w:rPr>
          <w:rFonts w:ascii="Arial" w:cs="Arial" w:eastAsia="Arial" w:hAnsi="Arial"/>
          <w:color w:val="222222"/>
          <w:sz w:val="20"/>
          <w:szCs w:val="20"/>
          <w:highlight w:val="white"/>
          <w:rtl w:val="0"/>
        </w:rPr>
        <w:t xml:space="preserve">Qu, Y., &amp; Furnas, G. W. (2008). Model-driven formative evaluation of exploratory search: A study under a sensemaking framework. </w:t>
      </w:r>
      <w:r w:rsidDel="00000000" w:rsidR="00000000" w:rsidRPr="00000000">
        <w:rPr>
          <w:rFonts w:ascii="Arial" w:cs="Arial" w:eastAsia="Arial" w:hAnsi="Arial"/>
          <w:i w:val="1"/>
          <w:color w:val="222222"/>
          <w:sz w:val="20"/>
          <w:szCs w:val="20"/>
          <w:highlight w:val="white"/>
          <w:rtl w:val="0"/>
        </w:rPr>
        <w:t xml:space="preserve">Information Processing &amp; Management</w:t>
      </w:r>
      <w:r w:rsidDel="00000000" w:rsidR="00000000" w:rsidRPr="00000000">
        <w:rPr>
          <w:rFonts w:ascii="Arial" w:cs="Arial" w:eastAsia="Arial" w:hAnsi="Arial"/>
          <w:color w:val="222222"/>
          <w:sz w:val="20"/>
          <w:szCs w:val="20"/>
          <w:highlight w:val="white"/>
          <w:rtl w:val="0"/>
        </w:rPr>
        <w:t xml:space="preserve">, </w:t>
      </w:r>
      <w:r w:rsidDel="00000000" w:rsidR="00000000" w:rsidRPr="00000000">
        <w:rPr>
          <w:rFonts w:ascii="Arial" w:cs="Arial" w:eastAsia="Arial" w:hAnsi="Arial"/>
          <w:i w:val="1"/>
          <w:color w:val="222222"/>
          <w:sz w:val="20"/>
          <w:szCs w:val="20"/>
          <w:highlight w:val="white"/>
          <w:rtl w:val="0"/>
        </w:rPr>
        <w:t xml:space="preserve">44</w:t>
      </w:r>
      <w:r w:rsidDel="00000000" w:rsidR="00000000" w:rsidRPr="00000000">
        <w:rPr>
          <w:rFonts w:ascii="Arial" w:cs="Arial" w:eastAsia="Arial" w:hAnsi="Arial"/>
          <w:color w:val="222222"/>
          <w:sz w:val="20"/>
          <w:szCs w:val="20"/>
          <w:highlight w:val="white"/>
          <w:rtl w:val="0"/>
        </w:rPr>
        <w:t xml:space="preserve">(2), 534-555.</w:t>
      </w:r>
      <w:r w:rsidDel="00000000" w:rsidR="00000000" w:rsidRPr="00000000">
        <w:rPr>
          <w:rtl w:val="0"/>
        </w:rPr>
      </w:r>
    </w:p>
    <w:p w:rsidR="00000000" w:rsidDel="00000000" w:rsidP="00000000" w:rsidRDefault="00000000" w:rsidRPr="00000000" w14:paraId="000000A4">
      <w:pPr>
        <w:widowControl w:val="1"/>
        <w:jc w:val="left"/>
        <w:rPr>
          <w:rFonts w:ascii="Times New Roman" w:cs="Times New Roman" w:eastAsia="Times New Roman" w:hAnsi="Times New Roman"/>
          <w:color w:val="222222"/>
          <w:sz w:val="20"/>
          <w:szCs w:val="20"/>
          <w:highlight w:val="white"/>
        </w:rPr>
      </w:pPr>
      <w:r w:rsidDel="00000000" w:rsidR="00000000" w:rsidRPr="00000000">
        <w:rPr>
          <w:rFonts w:ascii="Times New Roman" w:cs="Times New Roman" w:eastAsia="Times New Roman" w:hAnsi="Times New Roman"/>
          <w:color w:val="222222"/>
          <w:sz w:val="20"/>
          <w:szCs w:val="20"/>
          <w:highlight w:val="white"/>
          <w:rtl w:val="0"/>
        </w:rPr>
        <w:t xml:space="preserve">Sandberg, J., &amp; Tsoukas, H. (2015). Making sense of the sensemaking perspective: Its constituents, limitations, and opportunities for further development. </w:t>
      </w:r>
      <w:r w:rsidDel="00000000" w:rsidR="00000000" w:rsidRPr="00000000">
        <w:rPr>
          <w:rFonts w:ascii="Times New Roman" w:cs="Times New Roman" w:eastAsia="Times New Roman" w:hAnsi="Times New Roman"/>
          <w:i w:val="1"/>
          <w:color w:val="222222"/>
          <w:sz w:val="20"/>
          <w:szCs w:val="20"/>
          <w:highlight w:val="white"/>
          <w:rtl w:val="0"/>
        </w:rPr>
        <w:t xml:space="preserve">Journal of organizational behavior</w:t>
      </w:r>
      <w:r w:rsidDel="00000000" w:rsidR="00000000" w:rsidRPr="00000000">
        <w:rPr>
          <w:rFonts w:ascii="Times New Roman" w:cs="Times New Roman" w:eastAsia="Times New Roman" w:hAnsi="Times New Roman"/>
          <w:color w:val="222222"/>
          <w:sz w:val="20"/>
          <w:szCs w:val="20"/>
          <w:highlight w:val="white"/>
          <w:rtl w:val="0"/>
        </w:rPr>
        <w:t xml:space="preserve">, </w:t>
      </w:r>
      <w:r w:rsidDel="00000000" w:rsidR="00000000" w:rsidRPr="00000000">
        <w:rPr>
          <w:rFonts w:ascii="Times New Roman" w:cs="Times New Roman" w:eastAsia="Times New Roman" w:hAnsi="Times New Roman"/>
          <w:i w:val="1"/>
          <w:color w:val="222222"/>
          <w:sz w:val="20"/>
          <w:szCs w:val="20"/>
          <w:highlight w:val="white"/>
          <w:rtl w:val="0"/>
        </w:rPr>
        <w:t xml:space="preserve">36</w:t>
      </w:r>
      <w:r w:rsidDel="00000000" w:rsidR="00000000" w:rsidRPr="00000000">
        <w:rPr>
          <w:rFonts w:ascii="Times New Roman" w:cs="Times New Roman" w:eastAsia="Times New Roman" w:hAnsi="Times New Roman"/>
          <w:color w:val="222222"/>
          <w:sz w:val="20"/>
          <w:szCs w:val="20"/>
          <w:highlight w:val="white"/>
          <w:rtl w:val="0"/>
        </w:rPr>
        <w:t xml:space="preserve">(S1), S6-S32.</w:t>
      </w:r>
    </w:p>
    <w:p w:rsidR="00000000" w:rsidDel="00000000" w:rsidP="00000000" w:rsidRDefault="00000000" w:rsidRPr="00000000" w14:paraId="000000A5">
      <w:pPr>
        <w:widowControl w:val="1"/>
        <w:jc w:val="left"/>
        <w:rPr>
          <w:rFonts w:ascii="Times New Roman" w:cs="Times New Roman" w:eastAsia="Times New Roman" w:hAnsi="Times New Roman"/>
          <w:color w:val="222222"/>
          <w:sz w:val="20"/>
          <w:szCs w:val="20"/>
          <w:highlight w:val="white"/>
        </w:rPr>
      </w:pPr>
      <w:r w:rsidDel="00000000" w:rsidR="00000000" w:rsidRPr="00000000">
        <w:rPr>
          <w:rFonts w:ascii="Times New Roman" w:cs="Times New Roman" w:eastAsia="Times New Roman" w:hAnsi="Times New Roman"/>
          <w:color w:val="222222"/>
          <w:sz w:val="20"/>
          <w:szCs w:val="20"/>
          <w:highlight w:val="white"/>
          <w:rtl w:val="0"/>
        </w:rPr>
        <w:t xml:space="preserve">Sayegh, L., Anthony, W. P., &amp; Perrewé, P. L. (2004). Managerial decision-making under crisis: The role of emotion in an intuitive decision process. </w:t>
      </w:r>
      <w:r w:rsidDel="00000000" w:rsidR="00000000" w:rsidRPr="00000000">
        <w:rPr>
          <w:rFonts w:ascii="Times New Roman" w:cs="Times New Roman" w:eastAsia="Times New Roman" w:hAnsi="Times New Roman"/>
          <w:i w:val="1"/>
          <w:color w:val="222222"/>
          <w:sz w:val="20"/>
          <w:szCs w:val="20"/>
          <w:highlight w:val="white"/>
          <w:rtl w:val="0"/>
        </w:rPr>
        <w:t xml:space="preserve">Human resource management review</w:t>
      </w:r>
      <w:r w:rsidDel="00000000" w:rsidR="00000000" w:rsidRPr="00000000">
        <w:rPr>
          <w:rFonts w:ascii="Times New Roman" w:cs="Times New Roman" w:eastAsia="Times New Roman" w:hAnsi="Times New Roman"/>
          <w:color w:val="222222"/>
          <w:sz w:val="20"/>
          <w:szCs w:val="20"/>
          <w:highlight w:val="white"/>
          <w:rtl w:val="0"/>
        </w:rPr>
        <w:t xml:space="preserve">, </w:t>
      </w:r>
      <w:r w:rsidDel="00000000" w:rsidR="00000000" w:rsidRPr="00000000">
        <w:rPr>
          <w:rFonts w:ascii="Times New Roman" w:cs="Times New Roman" w:eastAsia="Times New Roman" w:hAnsi="Times New Roman"/>
          <w:i w:val="1"/>
          <w:color w:val="222222"/>
          <w:sz w:val="20"/>
          <w:szCs w:val="20"/>
          <w:highlight w:val="white"/>
          <w:rtl w:val="0"/>
        </w:rPr>
        <w:t xml:space="preserve">14</w:t>
      </w:r>
      <w:r w:rsidDel="00000000" w:rsidR="00000000" w:rsidRPr="00000000">
        <w:rPr>
          <w:rFonts w:ascii="Times New Roman" w:cs="Times New Roman" w:eastAsia="Times New Roman" w:hAnsi="Times New Roman"/>
          <w:color w:val="222222"/>
          <w:sz w:val="20"/>
          <w:szCs w:val="20"/>
          <w:highlight w:val="white"/>
          <w:rtl w:val="0"/>
        </w:rPr>
        <w:t xml:space="preserve">(2), 179-199.</w:t>
      </w:r>
    </w:p>
    <w:p w:rsidR="00000000" w:rsidDel="00000000" w:rsidP="00000000" w:rsidRDefault="00000000" w:rsidRPr="00000000" w14:paraId="000000A6">
      <w:pPr>
        <w:widowControl w:val="1"/>
        <w:jc w:val="left"/>
        <w:rPr>
          <w:rFonts w:ascii="Times New Roman" w:cs="Times New Roman" w:eastAsia="Times New Roman" w:hAnsi="Times New Roman"/>
          <w:color w:val="222222"/>
          <w:sz w:val="20"/>
          <w:szCs w:val="20"/>
          <w:highlight w:val="white"/>
        </w:rPr>
      </w:pPr>
      <w:r w:rsidDel="00000000" w:rsidR="00000000" w:rsidRPr="00000000">
        <w:rPr>
          <w:rFonts w:ascii="Times New Roman" w:cs="Times New Roman" w:eastAsia="Times New Roman" w:hAnsi="Times New Roman"/>
          <w:color w:val="222222"/>
          <w:sz w:val="20"/>
          <w:szCs w:val="20"/>
          <w:highlight w:val="white"/>
          <w:rtl w:val="0"/>
        </w:rPr>
        <w:t xml:space="preserve">Seo, M. G., &amp; Creed, W. D. (2002). Institutional contradictions, praxis, and institutional change: A dialectical perspective. </w:t>
      </w:r>
      <w:r w:rsidDel="00000000" w:rsidR="00000000" w:rsidRPr="00000000">
        <w:rPr>
          <w:rFonts w:ascii="Times New Roman" w:cs="Times New Roman" w:eastAsia="Times New Roman" w:hAnsi="Times New Roman"/>
          <w:i w:val="1"/>
          <w:color w:val="222222"/>
          <w:sz w:val="20"/>
          <w:szCs w:val="20"/>
          <w:highlight w:val="white"/>
          <w:rtl w:val="0"/>
        </w:rPr>
        <w:t xml:space="preserve">Academy of management review</w:t>
      </w:r>
      <w:r w:rsidDel="00000000" w:rsidR="00000000" w:rsidRPr="00000000">
        <w:rPr>
          <w:rFonts w:ascii="Times New Roman" w:cs="Times New Roman" w:eastAsia="Times New Roman" w:hAnsi="Times New Roman"/>
          <w:color w:val="222222"/>
          <w:sz w:val="20"/>
          <w:szCs w:val="20"/>
          <w:highlight w:val="white"/>
          <w:rtl w:val="0"/>
        </w:rPr>
        <w:t xml:space="preserve">, </w:t>
      </w:r>
      <w:r w:rsidDel="00000000" w:rsidR="00000000" w:rsidRPr="00000000">
        <w:rPr>
          <w:rFonts w:ascii="Times New Roman" w:cs="Times New Roman" w:eastAsia="Times New Roman" w:hAnsi="Times New Roman"/>
          <w:i w:val="1"/>
          <w:color w:val="222222"/>
          <w:sz w:val="20"/>
          <w:szCs w:val="20"/>
          <w:highlight w:val="white"/>
          <w:rtl w:val="0"/>
        </w:rPr>
        <w:t xml:space="preserve">27</w:t>
      </w:r>
      <w:r w:rsidDel="00000000" w:rsidR="00000000" w:rsidRPr="00000000">
        <w:rPr>
          <w:rFonts w:ascii="Times New Roman" w:cs="Times New Roman" w:eastAsia="Times New Roman" w:hAnsi="Times New Roman"/>
          <w:color w:val="222222"/>
          <w:sz w:val="20"/>
          <w:szCs w:val="20"/>
          <w:highlight w:val="white"/>
          <w:rtl w:val="0"/>
        </w:rPr>
        <w:t xml:space="preserve">(2), 222-247.</w:t>
      </w:r>
    </w:p>
    <w:p w:rsidR="00000000" w:rsidDel="00000000" w:rsidP="00000000" w:rsidRDefault="00000000" w:rsidRPr="00000000" w14:paraId="000000A7">
      <w:pPr>
        <w:widowControl w:val="1"/>
        <w:jc w:val="left"/>
        <w:rPr>
          <w:rFonts w:ascii="Times New Roman" w:cs="Times New Roman" w:eastAsia="Times New Roman" w:hAnsi="Times New Roman"/>
          <w:color w:val="222222"/>
          <w:sz w:val="20"/>
          <w:szCs w:val="20"/>
          <w:highlight w:val="white"/>
        </w:rPr>
      </w:pPr>
      <w:r w:rsidDel="00000000" w:rsidR="00000000" w:rsidRPr="00000000">
        <w:rPr>
          <w:rFonts w:ascii="Arial" w:cs="Arial" w:eastAsia="Arial" w:hAnsi="Arial"/>
          <w:color w:val="222222"/>
          <w:sz w:val="20"/>
          <w:szCs w:val="20"/>
          <w:highlight w:val="white"/>
          <w:rtl w:val="0"/>
        </w:rPr>
        <w:t xml:space="preserve">Sproull, L. S. (1981). Beliefs in organizations. </w:t>
      </w:r>
      <w:r w:rsidDel="00000000" w:rsidR="00000000" w:rsidRPr="00000000">
        <w:rPr>
          <w:rFonts w:ascii="Arial" w:cs="Arial" w:eastAsia="Arial" w:hAnsi="Arial"/>
          <w:i w:val="1"/>
          <w:color w:val="222222"/>
          <w:sz w:val="20"/>
          <w:szCs w:val="20"/>
          <w:highlight w:val="white"/>
          <w:rtl w:val="0"/>
        </w:rPr>
        <w:t xml:space="preserve">Handbook of organizational design</w:t>
      </w:r>
      <w:r w:rsidDel="00000000" w:rsidR="00000000" w:rsidRPr="00000000">
        <w:rPr>
          <w:rFonts w:ascii="Arial" w:cs="Arial" w:eastAsia="Arial" w:hAnsi="Arial"/>
          <w:color w:val="222222"/>
          <w:sz w:val="20"/>
          <w:szCs w:val="20"/>
          <w:highlight w:val="white"/>
          <w:rtl w:val="0"/>
        </w:rPr>
        <w:t xml:space="preserve">, </w:t>
      </w:r>
      <w:r w:rsidDel="00000000" w:rsidR="00000000" w:rsidRPr="00000000">
        <w:rPr>
          <w:rFonts w:ascii="Arial" w:cs="Arial" w:eastAsia="Arial" w:hAnsi="Arial"/>
          <w:i w:val="1"/>
          <w:color w:val="222222"/>
          <w:sz w:val="20"/>
          <w:szCs w:val="20"/>
          <w:highlight w:val="white"/>
          <w:rtl w:val="0"/>
        </w:rPr>
        <w:t xml:space="preserve">2</w:t>
      </w:r>
      <w:r w:rsidDel="00000000" w:rsidR="00000000" w:rsidRPr="00000000">
        <w:rPr>
          <w:rFonts w:ascii="Arial" w:cs="Arial" w:eastAsia="Arial" w:hAnsi="Arial"/>
          <w:color w:val="222222"/>
          <w:sz w:val="20"/>
          <w:szCs w:val="20"/>
          <w:highlight w:val="white"/>
          <w:rtl w:val="0"/>
        </w:rPr>
        <w:t xml:space="preserve">, 203-224.</w:t>
      </w:r>
      <w:r w:rsidDel="00000000" w:rsidR="00000000" w:rsidRPr="00000000">
        <w:rPr>
          <w:rtl w:val="0"/>
        </w:rPr>
      </w:r>
    </w:p>
    <w:p w:rsidR="00000000" w:rsidDel="00000000" w:rsidP="00000000" w:rsidRDefault="00000000" w:rsidRPr="00000000" w14:paraId="000000A8">
      <w:pPr>
        <w:widowControl w:val="1"/>
        <w:jc w:val="left"/>
        <w:rPr>
          <w:rFonts w:ascii="Times New Roman" w:cs="Times New Roman" w:eastAsia="Times New Roman" w:hAnsi="Times New Roman"/>
          <w:color w:val="222222"/>
          <w:sz w:val="20"/>
          <w:szCs w:val="20"/>
          <w:highlight w:val="white"/>
        </w:rPr>
      </w:pPr>
      <w:r w:rsidDel="00000000" w:rsidR="00000000" w:rsidRPr="00000000">
        <w:rPr>
          <w:rFonts w:ascii="Times New Roman" w:cs="Times New Roman" w:eastAsia="Times New Roman" w:hAnsi="Times New Roman"/>
          <w:color w:val="222222"/>
          <w:sz w:val="20"/>
          <w:szCs w:val="20"/>
          <w:highlight w:val="white"/>
          <w:rtl w:val="0"/>
        </w:rPr>
        <w:t xml:space="preserve">Stanovich, K. E., &amp; West, R. F. (1997). Reasoning independently of prior belief and individual differences in actively open-minded thinking. </w:t>
      </w:r>
      <w:r w:rsidDel="00000000" w:rsidR="00000000" w:rsidRPr="00000000">
        <w:rPr>
          <w:rFonts w:ascii="Times New Roman" w:cs="Times New Roman" w:eastAsia="Times New Roman" w:hAnsi="Times New Roman"/>
          <w:i w:val="1"/>
          <w:color w:val="222222"/>
          <w:sz w:val="20"/>
          <w:szCs w:val="20"/>
          <w:highlight w:val="white"/>
          <w:rtl w:val="0"/>
        </w:rPr>
        <w:t xml:space="preserve">Journal of educational psychology</w:t>
      </w:r>
      <w:r w:rsidDel="00000000" w:rsidR="00000000" w:rsidRPr="00000000">
        <w:rPr>
          <w:rFonts w:ascii="Times New Roman" w:cs="Times New Roman" w:eastAsia="Times New Roman" w:hAnsi="Times New Roman"/>
          <w:color w:val="222222"/>
          <w:sz w:val="20"/>
          <w:szCs w:val="20"/>
          <w:highlight w:val="white"/>
          <w:rtl w:val="0"/>
        </w:rPr>
        <w:t xml:space="preserve">, </w:t>
      </w:r>
      <w:r w:rsidDel="00000000" w:rsidR="00000000" w:rsidRPr="00000000">
        <w:rPr>
          <w:rFonts w:ascii="Times New Roman" w:cs="Times New Roman" w:eastAsia="Times New Roman" w:hAnsi="Times New Roman"/>
          <w:i w:val="1"/>
          <w:color w:val="222222"/>
          <w:sz w:val="20"/>
          <w:szCs w:val="20"/>
          <w:highlight w:val="white"/>
          <w:rtl w:val="0"/>
        </w:rPr>
        <w:t xml:space="preserve">89</w:t>
      </w:r>
      <w:r w:rsidDel="00000000" w:rsidR="00000000" w:rsidRPr="00000000">
        <w:rPr>
          <w:rFonts w:ascii="Times New Roman" w:cs="Times New Roman" w:eastAsia="Times New Roman" w:hAnsi="Times New Roman"/>
          <w:color w:val="222222"/>
          <w:sz w:val="20"/>
          <w:szCs w:val="20"/>
          <w:highlight w:val="white"/>
          <w:rtl w:val="0"/>
        </w:rPr>
        <w:t xml:space="preserve">(2), 342.</w:t>
      </w:r>
    </w:p>
    <w:p w:rsidR="00000000" w:rsidDel="00000000" w:rsidP="00000000" w:rsidRDefault="00000000" w:rsidRPr="00000000" w14:paraId="000000A9">
      <w:pPr>
        <w:widowControl w:val="1"/>
        <w:jc w:val="left"/>
        <w:rPr>
          <w:rFonts w:ascii="Times New Roman" w:cs="Times New Roman" w:eastAsia="Times New Roman" w:hAnsi="Times New Roman"/>
          <w:color w:val="222222"/>
          <w:sz w:val="20"/>
          <w:szCs w:val="20"/>
          <w:highlight w:val="white"/>
        </w:rPr>
      </w:pPr>
      <w:r w:rsidDel="00000000" w:rsidR="00000000" w:rsidRPr="00000000">
        <w:rPr>
          <w:rtl w:val="0"/>
        </w:rPr>
      </w:r>
    </w:p>
    <w:p w:rsidR="00000000" w:rsidDel="00000000" w:rsidP="00000000" w:rsidRDefault="00000000" w:rsidRPr="00000000" w14:paraId="000000AA">
      <w:pPr>
        <w:widowControl w:val="1"/>
        <w:jc w:val="left"/>
        <w:rPr>
          <w:rFonts w:ascii="Times New Roman" w:cs="Times New Roman" w:eastAsia="Times New Roman" w:hAnsi="Times New Roman"/>
          <w:color w:val="222222"/>
          <w:sz w:val="20"/>
          <w:szCs w:val="20"/>
          <w:highlight w:val="white"/>
        </w:rPr>
      </w:pPr>
      <w:r w:rsidDel="00000000" w:rsidR="00000000" w:rsidRPr="00000000">
        <w:rPr>
          <w:rFonts w:ascii="Times New Roman" w:cs="Times New Roman" w:eastAsia="Times New Roman" w:hAnsi="Times New Roman"/>
          <w:color w:val="222222"/>
          <w:sz w:val="20"/>
          <w:szCs w:val="20"/>
          <w:highlight w:val="white"/>
          <w:rtl w:val="0"/>
        </w:rPr>
        <w:t xml:space="preserve">Tomasello, M. (2018). </w:t>
      </w:r>
      <w:r w:rsidDel="00000000" w:rsidR="00000000" w:rsidRPr="00000000">
        <w:rPr>
          <w:rFonts w:ascii="Times New Roman" w:cs="Times New Roman" w:eastAsia="Times New Roman" w:hAnsi="Times New Roman"/>
          <w:i w:val="1"/>
          <w:color w:val="222222"/>
          <w:sz w:val="20"/>
          <w:szCs w:val="20"/>
          <w:highlight w:val="white"/>
          <w:rtl w:val="0"/>
        </w:rPr>
        <w:t xml:space="preserve">A natural history of human thinking</w:t>
      </w:r>
      <w:r w:rsidDel="00000000" w:rsidR="00000000" w:rsidRPr="00000000">
        <w:rPr>
          <w:rFonts w:ascii="Times New Roman" w:cs="Times New Roman" w:eastAsia="Times New Roman" w:hAnsi="Times New Roman"/>
          <w:color w:val="222222"/>
          <w:sz w:val="20"/>
          <w:szCs w:val="20"/>
          <w:highlight w:val="white"/>
          <w:rtl w:val="0"/>
        </w:rPr>
        <w:t xml:space="preserve">. Harvard University Press.</w:t>
      </w:r>
    </w:p>
    <w:p w:rsidR="00000000" w:rsidDel="00000000" w:rsidP="00000000" w:rsidRDefault="00000000" w:rsidRPr="00000000" w14:paraId="000000AB">
      <w:pPr>
        <w:widowControl w:val="1"/>
        <w:jc w:val="left"/>
        <w:rPr>
          <w:rFonts w:ascii="Times New Roman" w:cs="Times New Roman" w:eastAsia="Times New Roman" w:hAnsi="Times New Roman"/>
          <w:color w:val="222222"/>
          <w:sz w:val="20"/>
          <w:szCs w:val="20"/>
          <w:highlight w:val="white"/>
        </w:rPr>
      </w:pPr>
      <w:r w:rsidDel="00000000" w:rsidR="00000000" w:rsidRPr="00000000">
        <w:rPr>
          <w:rFonts w:ascii="Times New Roman" w:cs="Times New Roman" w:eastAsia="Times New Roman" w:hAnsi="Times New Roman"/>
          <w:color w:val="222222"/>
          <w:sz w:val="20"/>
          <w:szCs w:val="20"/>
          <w:highlight w:val="white"/>
          <w:rtl w:val="0"/>
        </w:rPr>
        <w:t xml:space="preserve">Van de Ven, A. H., &amp; Drazin, R. (1984). </w:t>
      </w:r>
      <w:r w:rsidDel="00000000" w:rsidR="00000000" w:rsidRPr="00000000">
        <w:rPr>
          <w:rFonts w:ascii="Times New Roman" w:cs="Times New Roman" w:eastAsia="Times New Roman" w:hAnsi="Times New Roman"/>
          <w:i w:val="1"/>
          <w:color w:val="222222"/>
          <w:sz w:val="20"/>
          <w:szCs w:val="20"/>
          <w:highlight w:val="white"/>
          <w:rtl w:val="0"/>
        </w:rPr>
        <w:t xml:space="preserve">The concept of fit in contingency theory</w:t>
      </w:r>
      <w:r w:rsidDel="00000000" w:rsidR="00000000" w:rsidRPr="00000000">
        <w:rPr>
          <w:rFonts w:ascii="Times New Roman" w:cs="Times New Roman" w:eastAsia="Times New Roman" w:hAnsi="Times New Roman"/>
          <w:color w:val="222222"/>
          <w:sz w:val="20"/>
          <w:szCs w:val="20"/>
          <w:highlight w:val="white"/>
          <w:rtl w:val="0"/>
        </w:rPr>
        <w:t xml:space="preserve">. Minnesota univ minneapolis strategic management research center.</w:t>
      </w:r>
    </w:p>
    <w:p w:rsidR="00000000" w:rsidDel="00000000" w:rsidP="00000000" w:rsidRDefault="00000000" w:rsidRPr="00000000" w14:paraId="000000AC">
      <w:pPr>
        <w:widowControl w:val="1"/>
        <w:jc w:val="left"/>
        <w:rPr>
          <w:rFonts w:ascii="Times New Roman" w:cs="Times New Roman" w:eastAsia="Times New Roman" w:hAnsi="Times New Roman"/>
          <w:color w:val="222222"/>
          <w:sz w:val="20"/>
          <w:szCs w:val="20"/>
          <w:highlight w:val="white"/>
        </w:rPr>
      </w:pPr>
      <w:r w:rsidDel="00000000" w:rsidR="00000000" w:rsidRPr="00000000">
        <w:rPr>
          <w:rtl w:val="0"/>
        </w:rPr>
      </w:r>
    </w:p>
    <w:p w:rsidR="00000000" w:rsidDel="00000000" w:rsidP="00000000" w:rsidRDefault="00000000" w:rsidRPr="00000000" w14:paraId="000000AD">
      <w:pPr>
        <w:rPr>
          <w:rFonts w:ascii="Times New Roman" w:cs="Times New Roman" w:eastAsia="Times New Roman" w:hAnsi="Times New Roman"/>
          <w:color w:val="222222"/>
          <w:sz w:val="20"/>
          <w:szCs w:val="20"/>
          <w:highlight w:val="white"/>
        </w:rPr>
      </w:pPr>
      <w:r w:rsidDel="00000000" w:rsidR="00000000" w:rsidRPr="00000000">
        <w:rPr>
          <w:rFonts w:ascii="Times New Roman" w:cs="Times New Roman" w:eastAsia="Times New Roman" w:hAnsi="Times New Roman"/>
          <w:color w:val="222222"/>
          <w:sz w:val="20"/>
          <w:szCs w:val="20"/>
          <w:highlight w:val="white"/>
          <w:rtl w:val="0"/>
        </w:rPr>
        <w:t xml:space="preserve">Weick, K. E. (1995). </w:t>
      </w:r>
      <w:r w:rsidDel="00000000" w:rsidR="00000000" w:rsidRPr="00000000">
        <w:rPr>
          <w:rFonts w:ascii="Times New Roman" w:cs="Times New Roman" w:eastAsia="Times New Roman" w:hAnsi="Times New Roman"/>
          <w:i w:val="1"/>
          <w:color w:val="222222"/>
          <w:sz w:val="20"/>
          <w:szCs w:val="20"/>
          <w:highlight w:val="white"/>
          <w:rtl w:val="0"/>
        </w:rPr>
        <w:t xml:space="preserve">Sensemaking in organizations</w:t>
      </w:r>
      <w:r w:rsidDel="00000000" w:rsidR="00000000" w:rsidRPr="00000000">
        <w:rPr>
          <w:rFonts w:ascii="Times New Roman" w:cs="Times New Roman" w:eastAsia="Times New Roman" w:hAnsi="Times New Roman"/>
          <w:color w:val="222222"/>
          <w:sz w:val="20"/>
          <w:szCs w:val="20"/>
          <w:highlight w:val="white"/>
          <w:rtl w:val="0"/>
        </w:rPr>
        <w:t xml:space="preserve"> (Vol. 3). Sage.</w:t>
      </w:r>
    </w:p>
    <w:p w:rsidR="00000000" w:rsidDel="00000000" w:rsidP="00000000" w:rsidRDefault="00000000" w:rsidRPr="00000000" w14:paraId="000000AE">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22222"/>
          <w:sz w:val="20"/>
          <w:szCs w:val="20"/>
          <w:highlight w:val="white"/>
          <w:rtl w:val="0"/>
        </w:rPr>
        <w:t xml:space="preserve">Weick, K. E. (1988). Enacted sensemaking in crisis situations [1]. </w:t>
      </w:r>
      <w:r w:rsidDel="00000000" w:rsidR="00000000" w:rsidRPr="00000000">
        <w:rPr>
          <w:rFonts w:ascii="Times New Roman" w:cs="Times New Roman" w:eastAsia="Times New Roman" w:hAnsi="Times New Roman"/>
          <w:i w:val="1"/>
          <w:color w:val="222222"/>
          <w:sz w:val="20"/>
          <w:szCs w:val="20"/>
          <w:highlight w:val="white"/>
          <w:rtl w:val="0"/>
        </w:rPr>
        <w:t xml:space="preserve">Journal of management studies</w:t>
      </w:r>
      <w:r w:rsidDel="00000000" w:rsidR="00000000" w:rsidRPr="00000000">
        <w:rPr>
          <w:rFonts w:ascii="Times New Roman" w:cs="Times New Roman" w:eastAsia="Times New Roman" w:hAnsi="Times New Roman"/>
          <w:color w:val="222222"/>
          <w:sz w:val="20"/>
          <w:szCs w:val="20"/>
          <w:highlight w:val="white"/>
          <w:rtl w:val="0"/>
        </w:rPr>
        <w:t xml:space="preserve">, </w:t>
      </w:r>
      <w:r w:rsidDel="00000000" w:rsidR="00000000" w:rsidRPr="00000000">
        <w:rPr>
          <w:rFonts w:ascii="Times New Roman" w:cs="Times New Roman" w:eastAsia="Times New Roman" w:hAnsi="Times New Roman"/>
          <w:i w:val="1"/>
          <w:color w:val="222222"/>
          <w:sz w:val="20"/>
          <w:szCs w:val="20"/>
          <w:highlight w:val="white"/>
          <w:rtl w:val="0"/>
        </w:rPr>
        <w:t xml:space="preserve">25</w:t>
      </w:r>
      <w:r w:rsidDel="00000000" w:rsidR="00000000" w:rsidRPr="00000000">
        <w:rPr>
          <w:rFonts w:ascii="Times New Roman" w:cs="Times New Roman" w:eastAsia="Times New Roman" w:hAnsi="Times New Roman"/>
          <w:color w:val="222222"/>
          <w:sz w:val="20"/>
          <w:szCs w:val="20"/>
          <w:highlight w:val="white"/>
          <w:rtl w:val="0"/>
        </w:rPr>
        <w:t xml:space="preserve">(4), 305-317.</w:t>
      </w:r>
      <w:r w:rsidDel="00000000" w:rsidR="00000000" w:rsidRPr="00000000">
        <w:rPr>
          <w:rtl w:val="0"/>
        </w:rPr>
      </w:r>
    </w:p>
    <w:p w:rsidR="00000000" w:rsidDel="00000000" w:rsidP="00000000" w:rsidRDefault="00000000" w:rsidRPr="00000000" w14:paraId="000000AF">
      <w:pPr>
        <w:widowControl w:val="1"/>
        <w:jc w:val="lef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22222"/>
          <w:sz w:val="20"/>
          <w:szCs w:val="20"/>
          <w:highlight w:val="white"/>
          <w:rtl w:val="0"/>
        </w:rPr>
        <w:t xml:space="preserve">Weick, K. E., Sutcliffe, K. M., &amp; Obstfeld, D. (2005). Organizing and the process of sensemaking. </w:t>
      </w:r>
      <w:r w:rsidDel="00000000" w:rsidR="00000000" w:rsidRPr="00000000">
        <w:rPr>
          <w:rFonts w:ascii="Times New Roman" w:cs="Times New Roman" w:eastAsia="Times New Roman" w:hAnsi="Times New Roman"/>
          <w:i w:val="1"/>
          <w:color w:val="222222"/>
          <w:sz w:val="20"/>
          <w:szCs w:val="20"/>
          <w:highlight w:val="white"/>
          <w:rtl w:val="0"/>
        </w:rPr>
        <w:t xml:space="preserve">Organization science</w:t>
      </w:r>
      <w:r w:rsidDel="00000000" w:rsidR="00000000" w:rsidRPr="00000000">
        <w:rPr>
          <w:rFonts w:ascii="Times New Roman" w:cs="Times New Roman" w:eastAsia="Times New Roman" w:hAnsi="Times New Roman"/>
          <w:color w:val="222222"/>
          <w:sz w:val="20"/>
          <w:szCs w:val="20"/>
          <w:highlight w:val="white"/>
          <w:rtl w:val="0"/>
        </w:rPr>
        <w:t xml:space="preserve">, </w:t>
      </w:r>
      <w:r w:rsidDel="00000000" w:rsidR="00000000" w:rsidRPr="00000000">
        <w:rPr>
          <w:rFonts w:ascii="Times New Roman" w:cs="Times New Roman" w:eastAsia="Times New Roman" w:hAnsi="Times New Roman"/>
          <w:i w:val="1"/>
          <w:color w:val="222222"/>
          <w:sz w:val="20"/>
          <w:szCs w:val="20"/>
          <w:highlight w:val="white"/>
          <w:rtl w:val="0"/>
        </w:rPr>
        <w:t xml:space="preserve">16</w:t>
      </w:r>
      <w:r w:rsidDel="00000000" w:rsidR="00000000" w:rsidRPr="00000000">
        <w:rPr>
          <w:rFonts w:ascii="Times New Roman" w:cs="Times New Roman" w:eastAsia="Times New Roman" w:hAnsi="Times New Roman"/>
          <w:color w:val="222222"/>
          <w:sz w:val="20"/>
          <w:szCs w:val="20"/>
          <w:highlight w:val="white"/>
          <w:rtl w:val="0"/>
        </w:rPr>
        <w:t xml:space="preserve">(4), 409-421.</w:t>
      </w:r>
      <w:r w:rsidDel="00000000" w:rsidR="00000000" w:rsidRPr="00000000">
        <w:rPr>
          <w:rtl w:val="0"/>
        </w:rPr>
      </w:r>
    </w:p>
    <w:p w:rsidR="00000000" w:rsidDel="00000000" w:rsidP="00000000" w:rsidRDefault="00000000" w:rsidRPr="00000000" w14:paraId="000000B0">
      <w:pPr>
        <w:rPr>
          <w:rFonts w:ascii="Times New Roman" w:cs="Times New Roman" w:eastAsia="Times New Roman" w:hAnsi="Times New Roman"/>
          <w:sz w:val="20"/>
          <w:szCs w:val="20"/>
        </w:rPr>
      </w:pPr>
      <w:r w:rsidDel="00000000" w:rsidR="00000000" w:rsidRPr="00000000">
        <w:rPr>
          <w:rFonts w:ascii="Arial" w:cs="Arial" w:eastAsia="Arial" w:hAnsi="Arial"/>
          <w:color w:val="222222"/>
          <w:sz w:val="20"/>
          <w:szCs w:val="20"/>
          <w:highlight w:val="white"/>
          <w:rtl w:val="0"/>
        </w:rPr>
        <w:t xml:space="preserve">Weick, K. E. (2012). </w:t>
      </w:r>
      <w:r w:rsidDel="00000000" w:rsidR="00000000" w:rsidRPr="00000000">
        <w:rPr>
          <w:rFonts w:ascii="Arial" w:cs="Arial" w:eastAsia="Arial" w:hAnsi="Arial"/>
          <w:i w:val="1"/>
          <w:color w:val="222222"/>
          <w:sz w:val="20"/>
          <w:szCs w:val="20"/>
          <w:highlight w:val="white"/>
          <w:rtl w:val="0"/>
        </w:rPr>
        <w:t xml:space="preserve">Making sense of the organization, Volume 2: The impermanent organization</w:t>
      </w:r>
      <w:r w:rsidDel="00000000" w:rsidR="00000000" w:rsidRPr="00000000">
        <w:rPr>
          <w:rFonts w:ascii="Arial" w:cs="Arial" w:eastAsia="Arial" w:hAnsi="Arial"/>
          <w:color w:val="222222"/>
          <w:sz w:val="20"/>
          <w:szCs w:val="20"/>
          <w:highlight w:val="white"/>
          <w:rtl w:val="0"/>
        </w:rPr>
        <w:t xml:space="preserve"> (Vol. 2). John Wiley &amp; Sons.</w:t>
      </w:r>
      <w:r w:rsidDel="00000000" w:rsidR="00000000" w:rsidRPr="00000000">
        <w:rPr>
          <w:rtl w:val="0"/>
        </w:rPr>
      </w:r>
    </w:p>
    <w:p w:rsidR="00000000" w:rsidDel="00000000" w:rsidP="00000000" w:rsidRDefault="00000000" w:rsidRPr="00000000" w14:paraId="000000B1">
      <w:pPr>
        <w:rPr>
          <w:rFonts w:ascii="Times New Roman" w:cs="Times New Roman" w:eastAsia="Times New Roman" w:hAnsi="Times New Roman"/>
          <w:sz w:val="20"/>
          <w:szCs w:val="20"/>
        </w:rPr>
      </w:pPr>
      <w:r w:rsidDel="00000000" w:rsidR="00000000" w:rsidRPr="00000000">
        <w:rPr>
          <w:rFonts w:ascii="Arial" w:cs="Arial" w:eastAsia="Arial" w:hAnsi="Arial"/>
          <w:color w:val="222222"/>
          <w:sz w:val="20"/>
          <w:szCs w:val="20"/>
          <w:highlight w:val="white"/>
          <w:rtl w:val="0"/>
        </w:rPr>
        <w:t xml:space="preserve">Weick, K. E., &amp; Sutcliffe, K. M. (2015). </w:t>
      </w:r>
      <w:r w:rsidDel="00000000" w:rsidR="00000000" w:rsidRPr="00000000">
        <w:rPr>
          <w:rFonts w:ascii="Arial" w:cs="Arial" w:eastAsia="Arial" w:hAnsi="Arial"/>
          <w:i w:val="1"/>
          <w:color w:val="222222"/>
          <w:sz w:val="20"/>
          <w:szCs w:val="20"/>
          <w:highlight w:val="white"/>
          <w:rtl w:val="0"/>
        </w:rPr>
        <w:t xml:space="preserve">Managing the unexpected: Sustained performance in a complex world</w:t>
      </w:r>
      <w:r w:rsidDel="00000000" w:rsidR="00000000" w:rsidRPr="00000000">
        <w:rPr>
          <w:rFonts w:ascii="Arial" w:cs="Arial" w:eastAsia="Arial" w:hAnsi="Arial"/>
          <w:color w:val="222222"/>
          <w:sz w:val="20"/>
          <w:szCs w:val="20"/>
          <w:highlight w:val="white"/>
          <w:rtl w:val="0"/>
        </w:rPr>
        <w:t xml:space="preserve">. John Wiley &amp; Sons.</w:t>
      </w:r>
      <w:r w:rsidDel="00000000" w:rsidR="00000000" w:rsidRPr="00000000">
        <w:rPr>
          <w:rtl w:val="0"/>
        </w:rPr>
      </w:r>
    </w:p>
    <w:p w:rsidR="00000000" w:rsidDel="00000000" w:rsidP="00000000" w:rsidRDefault="00000000" w:rsidRPr="00000000" w14:paraId="000000B2">
      <w:pPr>
        <w:rPr>
          <w:rFonts w:ascii="Times New Roman" w:cs="Times New Roman" w:eastAsia="Times New Roman" w:hAnsi="Times New Roman"/>
          <w:color w:val="222222"/>
          <w:sz w:val="20"/>
          <w:szCs w:val="20"/>
          <w:highlight w:val="white"/>
        </w:rPr>
      </w:pPr>
      <w:r w:rsidDel="00000000" w:rsidR="00000000" w:rsidRPr="00000000">
        <w:rPr>
          <w:rFonts w:ascii="Times New Roman" w:cs="Times New Roman" w:eastAsia="Times New Roman" w:hAnsi="Times New Roman"/>
          <w:color w:val="222222"/>
          <w:sz w:val="20"/>
          <w:szCs w:val="20"/>
          <w:highlight w:val="white"/>
          <w:rtl w:val="0"/>
        </w:rPr>
        <w:t xml:space="preserve">Westrum, R. (1982). Social Intelligence A bout Hidden Events: Its Significance for Scientific Research and Social Policy. </w:t>
      </w:r>
      <w:r w:rsidDel="00000000" w:rsidR="00000000" w:rsidRPr="00000000">
        <w:rPr>
          <w:rFonts w:ascii="Times New Roman" w:cs="Times New Roman" w:eastAsia="Times New Roman" w:hAnsi="Times New Roman"/>
          <w:i w:val="1"/>
          <w:color w:val="222222"/>
          <w:sz w:val="20"/>
          <w:szCs w:val="20"/>
          <w:highlight w:val="white"/>
          <w:rtl w:val="0"/>
        </w:rPr>
        <w:t xml:space="preserve">Knowledge</w:t>
      </w:r>
      <w:r w:rsidDel="00000000" w:rsidR="00000000" w:rsidRPr="00000000">
        <w:rPr>
          <w:rFonts w:ascii="Times New Roman" w:cs="Times New Roman" w:eastAsia="Times New Roman" w:hAnsi="Times New Roman"/>
          <w:color w:val="222222"/>
          <w:sz w:val="20"/>
          <w:szCs w:val="20"/>
          <w:highlight w:val="white"/>
          <w:rtl w:val="0"/>
        </w:rPr>
        <w:t xml:space="preserve">, </w:t>
      </w:r>
      <w:r w:rsidDel="00000000" w:rsidR="00000000" w:rsidRPr="00000000">
        <w:rPr>
          <w:rFonts w:ascii="Times New Roman" w:cs="Times New Roman" w:eastAsia="Times New Roman" w:hAnsi="Times New Roman"/>
          <w:i w:val="1"/>
          <w:color w:val="222222"/>
          <w:sz w:val="20"/>
          <w:szCs w:val="20"/>
          <w:highlight w:val="white"/>
          <w:rtl w:val="0"/>
        </w:rPr>
        <w:t xml:space="preserve">3</w:t>
      </w:r>
      <w:r w:rsidDel="00000000" w:rsidR="00000000" w:rsidRPr="00000000">
        <w:rPr>
          <w:rFonts w:ascii="Times New Roman" w:cs="Times New Roman" w:eastAsia="Times New Roman" w:hAnsi="Times New Roman"/>
          <w:color w:val="222222"/>
          <w:sz w:val="20"/>
          <w:szCs w:val="20"/>
          <w:highlight w:val="white"/>
          <w:rtl w:val="0"/>
        </w:rPr>
        <w:t xml:space="preserve">(3), 381-400.</w:t>
      </w:r>
    </w:p>
    <w:p w:rsidR="00000000" w:rsidDel="00000000" w:rsidP="00000000" w:rsidRDefault="00000000" w:rsidRPr="00000000" w14:paraId="000000B3">
      <w:pPr>
        <w:rPr>
          <w:rFonts w:ascii="Arial" w:cs="Arial" w:eastAsia="Arial" w:hAnsi="Arial"/>
          <w:b w:val="1"/>
          <w:color w:val="222222"/>
          <w:sz w:val="20"/>
          <w:szCs w:val="20"/>
          <w:highlight w:val="white"/>
        </w:rPr>
      </w:pPr>
      <w:r w:rsidDel="00000000" w:rsidR="00000000" w:rsidRPr="00000000">
        <w:rPr>
          <w:rtl w:val="0"/>
        </w:rPr>
      </w:r>
    </w:p>
    <w:sectPr>
      <w:pgSz w:h="16838" w:w="11906" w:orient="portrait"/>
      <w:pgMar w:bottom="1440" w:top="1440" w:left="1800" w:right="1800" w:header="851" w:footer="992"/>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Arial"/>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1"/>
        <w:szCs w:val="21"/>
        <w:lang w:val="en-US"/>
      </w:rPr>
    </w:rPrDefault>
    <w:pPrDefault>
      <w:pPr>
        <w:widowControl w:val="0"/>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a" w:default="1">
    <w:name w:val="Normal"/>
    <w:qFormat w:val="1"/>
    <w:pPr>
      <w:widowControl w:val="0"/>
      <w:jc w:val="both"/>
    </w:pPr>
    <w:rPr>
      <w:rFonts w:asciiTheme="minorHAnsi" w:cstheme="minorBidi" w:hAnsiTheme="minorHAnsi"/>
      <w:kern w:val="2"/>
      <w:sz w:val="21"/>
      <w:szCs w:val="24"/>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paragraph" w:styleId="a3">
    <w:name w:val="Normal (Web)"/>
    <w:basedOn w:val="a"/>
    <w:qFormat w:val="1"/>
    <w:rPr>
      <w:sz w:val="24"/>
    </w:rPr>
  </w:style>
  <w:style w:type="character" w:styleId="a4">
    <w:name w:val="Hyperlink"/>
    <w:basedOn w:val="a0"/>
    <w:qFormat w:val="1"/>
    <w:rPr>
      <w:color w:val="0000ff"/>
      <w:u w:val="single"/>
    </w:rPr>
  </w:style>
  <w:style w:type="paragraph" w:styleId="a5">
    <w:name w:val="List Paragraph"/>
    <w:basedOn w:val="a"/>
    <w:uiPriority w:val="99"/>
    <w:rsid w:val="00B148E6"/>
    <w:pPr>
      <w:ind w:firstLine="420" w:firstLineChars="200"/>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1" Type="http://schemas.openxmlformats.org/officeDocument/2006/relationships/hyperlink" Target="https://en.wikipedia.org/wiki/Semantics" TargetMode="External"/><Relationship Id="rId10" Type="http://schemas.openxmlformats.org/officeDocument/2006/relationships/hyperlink" Target="https://en.wikipedia.org/wiki/Organizational_studies" TargetMode="External"/><Relationship Id="rId13" Type="http://schemas.openxmlformats.org/officeDocument/2006/relationships/image" Target="media/image2.jpg"/><Relationship Id="rId12" Type="http://schemas.openxmlformats.org/officeDocument/2006/relationships/hyperlink" Target="https://www.emerald.com/insight/search?q=Paula%20Maria%20B%C3%B6gel"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en.wikipedia.org/wiki/Karl_E._Weick" TargetMode="External"/><Relationship Id="rId14" Type="http://schemas.openxmlformats.org/officeDocument/2006/relationships/image" Target="media/image1.jpg"/><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en.wikipedia.org/wiki/Daniel_Katz_(psychologist)" TargetMode="External"/><Relationship Id="rId8" Type="http://schemas.openxmlformats.org/officeDocument/2006/relationships/hyperlink" Target="https://en.wikipedia.org/wiki/Robert_Louis_Kahn"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黑体"/>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宋体"/>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5OAi0uchMA7CPaXGoJ7r5t6IxKg==">AMUW2mUPwPaT3IOD6EL1/SZ/kiLpCmA/wbj9Sr5tUlV+ePF6LPoE07knWmZd6ZM+R4sfKhVRdgP+rui+ncHp551EhLKkBrO2UwSLj5Aw6bIVPEy0kZin1XaMyi2A7JQBa0XfFNq+erPd</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2022-11-07T03:22:00Z</dcterms:created>
  <dc:creator>WPS_1666359915</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2052-5.1.1.7676</vt:lpwstr>
  </property>
  <property fmtid="{D5CDD505-2E9C-101B-9397-08002B2CF9AE}" pid="3" name="ICV">
    <vt:lpwstr>114AD6651924208E64ED676378F00D58</vt:lpwstr>
  </property>
  <property fmtid="{D5CDD505-2E9C-101B-9397-08002B2CF9AE}" pid="4" name="ZOTERO_PREF_1">
    <vt:lpwstr>&lt;data data-version="3" zotero-version="6.0.20"&gt;&lt;session id="UKcxIwyP"/&gt;&lt;style id="http://www.zotero.org/styles/apa" locale="en-GB" hasBibliography="1" bibliographyStyleHasBeenSet="0"/&gt;&lt;prefs&gt;&lt;pref name="fieldType" value="Field"/&gt;&lt;/prefs&gt;&lt;/data&gt;</vt:lpwstr>
  </property>
</Properties>
</file>