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985B1F" w:rsidRPr="00F2449F" w:rsidRDefault="00717D17" w:rsidP="007B62B8">
      <w:pPr>
        <w:spacing w:line="360" w:lineRule="auto"/>
        <w:jc w:val="both"/>
        <w:rPr>
          <w:b/>
          <w:sz w:val="28"/>
          <w:szCs w:val="28"/>
          <w:lang w:val="en-US"/>
        </w:rPr>
      </w:pPr>
      <w:bookmarkStart w:id="0" w:name="_heading=h.gjdgxs" w:colFirst="0" w:colLast="0"/>
      <w:bookmarkEnd w:id="0"/>
      <w:r w:rsidRPr="00F2449F">
        <w:rPr>
          <w:b/>
          <w:sz w:val="28"/>
          <w:szCs w:val="28"/>
          <w:lang w:val="en-US"/>
        </w:rPr>
        <w:t>Thriving in Uncertainty: The Role of Antifragile Adaptation in B2B Enterprises</w:t>
      </w:r>
    </w:p>
    <w:p w14:paraId="00000002" w14:textId="77777777" w:rsidR="00985B1F" w:rsidRPr="00F2449F" w:rsidRDefault="00985B1F" w:rsidP="007B62B8">
      <w:pPr>
        <w:spacing w:line="480" w:lineRule="auto"/>
        <w:jc w:val="both"/>
        <w:rPr>
          <w:lang w:val="en-US"/>
        </w:rPr>
      </w:pPr>
    </w:p>
    <w:p w14:paraId="00000003" w14:textId="77777777" w:rsidR="00985B1F" w:rsidRPr="00B13E1D" w:rsidRDefault="00717D17" w:rsidP="00B13E1D">
      <w:pPr>
        <w:spacing w:line="480" w:lineRule="auto"/>
        <w:jc w:val="both"/>
        <w:rPr>
          <w:b/>
          <w:lang w:val="en-US"/>
        </w:rPr>
      </w:pPr>
      <w:r w:rsidRPr="00B13E1D">
        <w:rPr>
          <w:b/>
          <w:lang w:val="en-US"/>
        </w:rPr>
        <w:t>Abstract</w:t>
      </w:r>
    </w:p>
    <w:p w14:paraId="123446EE" w14:textId="77777777" w:rsidR="00B13E1D" w:rsidRPr="00B13E1D" w:rsidRDefault="00B13E1D" w:rsidP="00B13E1D">
      <w:pPr>
        <w:jc w:val="both"/>
        <w:rPr>
          <w:lang w:val="en-US"/>
        </w:rPr>
      </w:pPr>
      <w:r w:rsidRPr="00B13E1D">
        <w:rPr>
          <w:lang w:val="en-US"/>
        </w:rPr>
        <w:t>In today's dynamic business environment, characterized by heightened uncertainty and rapid digital transformation, organizations grapple with unprecedented challenges and opportunities. This study addresses the pressing need for a novel approach to adaptation that transcends traditional frameworks, which were primarily designed for more stable contexts. We introduce the concept of “antifragile adaptation”, drawing inspiration from Taleb's notion of antifragility. Antifragile adaptation represents a paradigm shift, enabling organizations not only to withstand disruptions but to actively thrive in the face of uncertainty. Through a qualitative study involving 48 managers and directors across diverse industries, we unveil a comprehensive framework that encompasses three key antecedents – ambidexterity, option generation, and network leveraging – along with two enablers, organizational capabilities and advanced technologies. This research provides strategic insights for organizations to strategically leverage uncertainty, fostering competitive advantage and sustainable growth. By equipping leaders with the tools to navigate uncertainty adeptly, organizations can forge new pathways to success in an ever-changing business landscape.</w:t>
      </w:r>
    </w:p>
    <w:p w14:paraId="00B3E66B" w14:textId="77777777" w:rsidR="00F2449F" w:rsidRPr="00B13E1D" w:rsidRDefault="00F2449F" w:rsidP="00B13E1D">
      <w:pPr>
        <w:autoSpaceDE w:val="0"/>
        <w:autoSpaceDN w:val="0"/>
        <w:adjustRightInd w:val="0"/>
        <w:spacing w:line="480" w:lineRule="auto"/>
        <w:jc w:val="both"/>
        <w:rPr>
          <w:lang w:val="en-US"/>
        </w:rPr>
      </w:pPr>
    </w:p>
    <w:p w14:paraId="00000005" w14:textId="77777777" w:rsidR="00985B1F" w:rsidRPr="00F2449F" w:rsidRDefault="00717D17" w:rsidP="007B62B8">
      <w:pPr>
        <w:spacing w:line="480" w:lineRule="auto"/>
        <w:jc w:val="both"/>
        <w:rPr>
          <w:lang w:val="en-US"/>
        </w:rPr>
      </w:pPr>
      <w:r w:rsidRPr="00F2449F">
        <w:rPr>
          <w:b/>
          <w:lang w:val="en-US"/>
        </w:rPr>
        <w:t>Keywords</w:t>
      </w:r>
      <w:r w:rsidRPr="00F2449F">
        <w:rPr>
          <w:lang w:val="en-US"/>
        </w:rPr>
        <w:t xml:space="preserve">: </w:t>
      </w:r>
      <w:r w:rsidRPr="00F2449F">
        <w:rPr>
          <w:i/>
          <w:lang w:val="en-US"/>
        </w:rPr>
        <w:t xml:space="preserve"> adaptation, business to business, antifragility, uncertainty, change</w:t>
      </w:r>
    </w:p>
    <w:p w14:paraId="00000006" w14:textId="77777777" w:rsidR="00985B1F" w:rsidRPr="00F2449F" w:rsidRDefault="00985B1F" w:rsidP="007B62B8">
      <w:pPr>
        <w:spacing w:line="480" w:lineRule="auto"/>
        <w:jc w:val="both"/>
        <w:rPr>
          <w:lang w:val="en-US"/>
        </w:rPr>
      </w:pPr>
    </w:p>
    <w:p w14:paraId="00000007" w14:textId="77777777" w:rsidR="00985B1F" w:rsidRPr="00F2449F" w:rsidRDefault="00717D17" w:rsidP="007B62B8">
      <w:pPr>
        <w:spacing w:line="480" w:lineRule="auto"/>
        <w:jc w:val="both"/>
        <w:rPr>
          <w:b/>
          <w:sz w:val="20"/>
          <w:szCs w:val="20"/>
          <w:lang w:val="en-US"/>
        </w:rPr>
      </w:pPr>
      <w:r w:rsidRPr="00F2449F">
        <w:rPr>
          <w:b/>
          <w:lang w:val="en-US"/>
        </w:rPr>
        <w:t>1. Introduction</w:t>
      </w:r>
    </w:p>
    <w:p w14:paraId="00000008" w14:textId="60DCE65C" w:rsidR="00985B1F" w:rsidRPr="00F2449F" w:rsidRDefault="00717D17" w:rsidP="007B62B8">
      <w:pPr>
        <w:spacing w:line="480" w:lineRule="auto"/>
        <w:ind w:firstLine="720"/>
        <w:jc w:val="both"/>
        <w:rPr>
          <w:lang w:val="en-US"/>
        </w:rPr>
      </w:pPr>
      <w:r w:rsidRPr="00F2449F">
        <w:rPr>
          <w:lang w:val="en-US"/>
        </w:rPr>
        <w:t xml:space="preserve">Organizations are continually navigating an intricate landscape where the once-clear path to foreseeing future trends, demands, and challenges has vanished into obscurity. The relentless digital revolution, while laden with potential, simultaneously unleashes disruptive forces capable of reshaping entire industries overnight. </w:t>
      </w:r>
      <w:r w:rsidR="0034346E" w:rsidRPr="00F2449F">
        <w:rPr>
          <w:lang w:val="en-US"/>
        </w:rPr>
        <w:t>Globally</w:t>
      </w:r>
      <w:r w:rsidRPr="00F2449F">
        <w:rPr>
          <w:lang w:val="en-US"/>
        </w:rPr>
        <w:t xml:space="preserve">, events like pandemics and trade disputes serve as stark reminders of the tenuous nature of stability in our interconnected world today. The increasing uncertainty that characterizes the business environment stems from a complex interplay of factors, including technological advancements, geopolitical dynamics, market volatility, and rapidly changing consumer preferences (Day &amp; Schoemaker, 2016; Magnani &amp; Zucchella, 2019). Consequently, businesses are compelled to adopt agile strategies, fostering flexibility and innovation, to not only survive but to thrive amidst uncertainty (Day &amp; Schoemaker, 2016). </w:t>
      </w:r>
    </w:p>
    <w:p w14:paraId="00000009" w14:textId="424C1D12" w:rsidR="00985B1F" w:rsidRPr="00F2449F" w:rsidRDefault="00717D17" w:rsidP="007B62B8">
      <w:pPr>
        <w:spacing w:line="480" w:lineRule="auto"/>
        <w:ind w:firstLine="720"/>
        <w:jc w:val="both"/>
        <w:rPr>
          <w:lang w:val="en-US"/>
        </w:rPr>
      </w:pPr>
      <w:r w:rsidRPr="00F2449F">
        <w:rPr>
          <w:lang w:val="en-US"/>
        </w:rPr>
        <w:t xml:space="preserve">Uncertainty is also a crucial aspect to consider when examining the evolution of business relationships and the implications on business network dynamics (Corsaro &amp; Snehota, 2012; Balslev Munksgaard &amp; Medlin, 2014). In the backdrop of elevated uncertainty and enduring crises, </w:t>
      </w:r>
      <w:r w:rsidRPr="00F2449F">
        <w:rPr>
          <w:lang w:val="en-US"/>
        </w:rPr>
        <w:lastRenderedPageBreak/>
        <w:t xml:space="preserve">organizations contend with the intensification of pre-existing internal conflicts. Concurrently, they may discern alterations in the stability of their inter-organizational relationships within the business-to-business (hereafter referred to as B2B) network (Zafari, Biggeman &amp; Garry, 2020). Business entities are progressively recognizing that the uncertainty associated with their relational investments may not manifest as anticipated future value. Additionally, exposure to uncertainty may increase the vulnerability of business actors, stemming from the perception of limited or no control over the relational network, as exemplified by shifts in end-user purchasing patterns, competitive dynamics, and technological advancements (Mullin &amp; Hogg, 1999). This pervasive sentiment of uncertainty precipitates a requisite for adaptive strategies aimed at upholding performance levels and preserving competitive advantage. </w:t>
      </w:r>
    </w:p>
    <w:p w14:paraId="0000000A" w14:textId="5F5C75EE" w:rsidR="00985B1F" w:rsidRPr="00F2449F" w:rsidRDefault="00717D17" w:rsidP="007B62B8">
      <w:pPr>
        <w:spacing w:line="480" w:lineRule="auto"/>
        <w:ind w:firstLine="720"/>
        <w:jc w:val="both"/>
        <w:rPr>
          <w:lang w:val="en-US"/>
        </w:rPr>
      </w:pPr>
      <w:r w:rsidRPr="00F2449F">
        <w:rPr>
          <w:highlight w:val="white"/>
          <w:lang w:val="en-US"/>
        </w:rPr>
        <w:t xml:space="preserve">The concept of </w:t>
      </w:r>
      <w:r w:rsidRPr="00F2449F">
        <w:rPr>
          <w:lang w:val="en-US"/>
        </w:rPr>
        <w:t xml:space="preserve">adaptation traditionally indicates the “behavioral modifications made by one company, at the individual, group or corporate level, to meet the specific needs of another organization” (Brennan &amp; Turnbull, 1995, p. 182). Scholars discuss how business relationships based on the interdependence between different actors results in mutual adaptation, where all the actors involved change their behaviors during a process of learning and teaching </w:t>
      </w:r>
      <w:r w:rsidRPr="00F2449F">
        <w:rPr>
          <w:highlight w:val="white"/>
          <w:lang w:val="en-US"/>
        </w:rPr>
        <w:t xml:space="preserve">(Håkansson, Havila &amp; Pedersen, 1999; </w:t>
      </w:r>
      <w:r w:rsidRPr="00F2449F">
        <w:rPr>
          <w:lang w:val="en-US"/>
        </w:rPr>
        <w:t>Joseph &amp; Ocasio, 2012</w:t>
      </w:r>
      <w:r w:rsidRPr="00F2449F">
        <w:rPr>
          <w:highlight w:val="white"/>
          <w:lang w:val="en-US"/>
        </w:rPr>
        <w:t xml:space="preserve">; Håkansson &amp; Snehota, 2017). </w:t>
      </w:r>
      <w:r w:rsidRPr="00F2449F">
        <w:rPr>
          <w:lang w:val="en-US"/>
        </w:rPr>
        <w:t>More recently, the strategic management literature conceptualized organizational adaptation as “the intentional decision making undertaken by organizational members, leading to observable actions that aim to reduce the distance between an organization and its economic and institutional environments” (Sarta, Durand &amp; Vergne, 2021, p. 44). According to this view, adaptation is considered as stemming from the organizational structure with the goal of responding to competitive threats and also proactively pursuing new opportunities (Siggelkow &amp; Levinthal, 2003; Joseph &amp; Ocasio, 2012) through coordination and responsiveness (Gulati, Lawrence &amp; Puranam, 2005).</w:t>
      </w:r>
    </w:p>
    <w:p w14:paraId="0000000B" w14:textId="7925066C" w:rsidR="00985B1F" w:rsidRPr="00F2449F" w:rsidRDefault="00717D17" w:rsidP="007B62B8">
      <w:pPr>
        <w:spacing w:line="480" w:lineRule="auto"/>
        <w:ind w:firstLine="720"/>
        <w:jc w:val="both"/>
        <w:rPr>
          <w:lang w:val="en-US"/>
        </w:rPr>
      </w:pPr>
      <w:r w:rsidRPr="00F2449F">
        <w:rPr>
          <w:highlight w:val="white"/>
          <w:lang w:val="en-US"/>
        </w:rPr>
        <w:t xml:space="preserve">Given the spreading processes of digitalization and the stronger call for sustainability commitments that contribute to changing the dynamics of competition as well as policies and regulations thereby increasing perceived uncertainty, the research on adaptation has started to shift </w:t>
      </w:r>
      <w:r w:rsidRPr="00F2449F">
        <w:rPr>
          <w:highlight w:val="white"/>
          <w:lang w:val="en-US"/>
        </w:rPr>
        <w:lastRenderedPageBreak/>
        <w:t>even more away from strictly operational concerns and toward a more intangible dimension to foster value co-creation further</w:t>
      </w:r>
      <w:r w:rsidRPr="00F2449F">
        <w:rPr>
          <w:shd w:val="clear" w:color="auto" w:fill="F7F7F8"/>
          <w:lang w:val="en-US"/>
        </w:rPr>
        <w:t xml:space="preserve"> (</w:t>
      </w:r>
      <w:r w:rsidRPr="00F2449F">
        <w:rPr>
          <w:lang w:val="en-US"/>
        </w:rPr>
        <w:t xml:space="preserve">Vargo &amp; Lusch, 2004, 2008; Grönroos, 2008; Grönroos &amp; Voima, 2013; Corsaro et al., 2013). In this sense, adaptation refers to the process of co-creating readiness within business networks and include both redundancy and contingency (El Baz &amp; Ruel, 2021; Polese, Mele &amp; Gummesson, 2017; Macdonald et al., 2018), as well as the flexibility of resources, operations, and strategic relationship management to allow organizations to change their characteristics so as to maintain their performance during varying environmental conditions (Ivanov, 2021). </w:t>
      </w:r>
    </w:p>
    <w:p w14:paraId="0000000C" w14:textId="3F6E337B" w:rsidR="00985B1F" w:rsidRPr="00F2449F" w:rsidRDefault="00717D17" w:rsidP="007B62B8">
      <w:pPr>
        <w:spacing w:line="480" w:lineRule="auto"/>
        <w:ind w:firstLine="720"/>
        <w:jc w:val="both"/>
        <w:rPr>
          <w:lang w:val="en-US"/>
        </w:rPr>
      </w:pPr>
      <w:r w:rsidRPr="00F2449F">
        <w:rPr>
          <w:lang w:val="en-US"/>
        </w:rPr>
        <w:t>In recent discussions of organizational adaptation, a controversial issue has been whether established frameworks adequately address endemic uncertain environments necessitating firms to continuously adapt their behavior and reconsider their strategic approach. The significance of this issue is underscored by the various conceptualizations of adaptation that refer to situations when a traditionally stable business environment undergoes abrupt. Although adaptation emerges as a paramount means to grapple with the systemic uncertainty exacerbated by the pandemic (Singh et al.</w:t>
      </w:r>
      <w:r w:rsidR="0057551D" w:rsidRPr="00F2449F">
        <w:rPr>
          <w:lang w:val="en-US"/>
        </w:rPr>
        <w:t>,</w:t>
      </w:r>
      <w:r w:rsidRPr="00F2449F">
        <w:rPr>
          <w:lang w:val="en-US"/>
        </w:rPr>
        <w:t xml:space="preserve"> 2020; Ivanov &amp; Dolgui</w:t>
      </w:r>
      <w:r w:rsidR="0057551D" w:rsidRPr="00F2449F">
        <w:rPr>
          <w:lang w:val="en-US"/>
        </w:rPr>
        <w:t>,</w:t>
      </w:r>
      <w:r w:rsidRPr="00F2449F">
        <w:rPr>
          <w:lang w:val="en-US"/>
        </w:rPr>
        <w:t xml:space="preserve"> 2021; Sodhi, Tang, &amp; Willenson</w:t>
      </w:r>
      <w:r w:rsidR="00BB368E" w:rsidRPr="00F2449F">
        <w:rPr>
          <w:lang w:val="en-US"/>
        </w:rPr>
        <w:t>,</w:t>
      </w:r>
      <w:r w:rsidRPr="00F2449F">
        <w:rPr>
          <w:lang w:val="en-US"/>
        </w:rPr>
        <w:t xml:space="preserve"> 2021), a notable challenge lies in the fact that most existing frameworks were developed during a period of greater stability, rendering them less effective when applied to dynamic conditions and contexts. From this perspective, it is contended that existing frameworks fall short in efficacy when applied to dynamic contexts. On the other hand, however, others contend that organizations should not confine their focus solely to short-term and predictable consequences of isolated incidents or disruptions, but rather implement effective long-term decision-making strategies capable of bolstering them through endemic uncertainty (Mehrotra et al. 2020; Ivanov, 2021). </w:t>
      </w:r>
    </w:p>
    <w:p w14:paraId="0000000D" w14:textId="21E76478" w:rsidR="00985B1F" w:rsidRPr="00F2449F" w:rsidRDefault="00717D17" w:rsidP="007B62B8">
      <w:pPr>
        <w:spacing w:line="480" w:lineRule="auto"/>
        <w:ind w:firstLine="720"/>
        <w:jc w:val="both"/>
        <w:rPr>
          <w:lang w:val="en-US"/>
        </w:rPr>
      </w:pPr>
      <w:r w:rsidRPr="00F2449F">
        <w:rPr>
          <w:lang w:val="en-US"/>
        </w:rPr>
        <w:t xml:space="preserve">From this standpoint, we introduce the notion of antifragility, originally formulated by Taleb (2001), as a novel lens through which examining adaptation within contexts of endemic uncertainty. Antifragility assumes paramount significance in navigating environments characterized by unpredictability, describing systems or entities that not only withstand shocks and volatility but actively thrive and improve in their wake (Taleb, 2001). Building upon this premise, this study </w:t>
      </w:r>
      <w:r w:rsidRPr="00F2449F">
        <w:rPr>
          <w:lang w:val="en-US"/>
        </w:rPr>
        <w:lastRenderedPageBreak/>
        <w:t xml:space="preserve">advances a refined conceptualization of adaptation, offering an innovative perspective that transcends conventional notions of readiness and resilience. Specifically, our research seeks to elucidate how adaptation can serve as a mechanism for B2B enterprises not merely to endure adversity stemming from uncertainty but </w:t>
      </w:r>
      <w:r w:rsidR="0057551D" w:rsidRPr="00F2449F">
        <w:rPr>
          <w:lang w:val="en-US"/>
        </w:rPr>
        <w:t xml:space="preserve">to </w:t>
      </w:r>
      <w:r w:rsidRPr="00F2449F">
        <w:rPr>
          <w:lang w:val="en-US"/>
        </w:rPr>
        <w:t>actively</w:t>
      </w:r>
      <w:r w:rsidR="0057551D" w:rsidRPr="00F2449F">
        <w:rPr>
          <w:lang w:val="en-US"/>
        </w:rPr>
        <w:t xml:space="preserve"> </w:t>
      </w:r>
      <w:r w:rsidRPr="00F2449F">
        <w:rPr>
          <w:lang w:val="en-US"/>
        </w:rPr>
        <w:t xml:space="preserve">derive benefits from it. To this end, we endeavor to address the following research questions: How does adaptation manifest in business environments characterized by endemic </w:t>
      </w:r>
      <w:proofErr w:type="gramStart"/>
      <w:r w:rsidRPr="00F2449F">
        <w:rPr>
          <w:lang w:val="en-US"/>
        </w:rPr>
        <w:t>uncertainty?,</w:t>
      </w:r>
      <w:proofErr w:type="gramEnd"/>
      <w:r w:rsidRPr="00F2449F">
        <w:rPr>
          <w:lang w:val="en-US"/>
        </w:rPr>
        <w:t xml:space="preserve"> What are the antecedents that shape this novel approach to adaptation? </w:t>
      </w:r>
      <w:r w:rsidR="0057551D" w:rsidRPr="00F2449F">
        <w:rPr>
          <w:lang w:val="en-US"/>
        </w:rPr>
        <w:t>W</w:t>
      </w:r>
      <w:r w:rsidRPr="00F2449F">
        <w:rPr>
          <w:lang w:val="en-US"/>
        </w:rPr>
        <w:t>hat factors act as facilitators or constraints in the endeavor to effectively adapt, prosper, and glean advantages from conditions typified by endemic uncertainty?</w:t>
      </w:r>
    </w:p>
    <w:p w14:paraId="0000000E" w14:textId="77777777" w:rsidR="00985B1F" w:rsidRPr="00F2449F" w:rsidRDefault="00717D17" w:rsidP="007B62B8">
      <w:pPr>
        <w:spacing w:line="480" w:lineRule="auto"/>
        <w:ind w:firstLine="720"/>
        <w:jc w:val="both"/>
        <w:rPr>
          <w:lang w:val="en-US"/>
        </w:rPr>
      </w:pPr>
      <w:r w:rsidRPr="00F2449F">
        <w:rPr>
          <w:lang w:val="en-US"/>
        </w:rPr>
        <w:t>Through a qualitative study involving 48 managers and directors operating within environments characterized by endemic uncertainty across diverse industries (industrial manufacturing, services, distribution, fashion, food &amp; beverage, beauty, etc.), this study makes three primary contributions. Firstly, it introduces a pioneering conceptual framework of adaptation termed as "antifragile adaptation”, which applies the concept of antifragility to harness uncertainty, thereby overcoming the challenges presented by uncertain and dynamic business landscapes. Secondly, it advances a comprehensive framework delineating three principal antecedents of antifragile adaptation (namely, ambidexterity, option generation, and network leveraging) along with a set of facilitators encompassing the application of specific organizational capabilities and cutting-edge technologies. Lastly, this research delineates strategic areas of investment for organizations, emphasizing the imperative of not merely resisting change and disruptions, but strategically leveraging them for competitive advantage. Furthermore, this work holds significant managerial ramifications. By equipping leaders with the requisite skills to effectively confront uncertainty and adeptly guide their teams through uncertain conditions, organizations stand to enhance their collective capacity to cultivate new and sustainable sources of growth.</w:t>
      </w:r>
    </w:p>
    <w:p w14:paraId="0000000F" w14:textId="06EE5BF7" w:rsidR="00985B1F" w:rsidRPr="00F2449F" w:rsidRDefault="00717D17" w:rsidP="007B62B8">
      <w:pPr>
        <w:spacing w:line="480" w:lineRule="auto"/>
        <w:ind w:firstLine="720"/>
        <w:jc w:val="both"/>
        <w:rPr>
          <w:lang w:val="en-US"/>
        </w:rPr>
      </w:pPr>
      <w:r w:rsidRPr="00F2449F">
        <w:rPr>
          <w:lang w:val="en-US"/>
        </w:rPr>
        <w:t xml:space="preserve">The paper is structured as follows: Initially, the literature review delves into the notion of uncertainty, highlighting the imperative for organizations to employ exceptional measures to safeguard their viability and ensure enduring success. Subsequently, we </w:t>
      </w:r>
      <w:r w:rsidR="0057551D" w:rsidRPr="00F2449F">
        <w:rPr>
          <w:lang w:val="en-US"/>
        </w:rPr>
        <w:t>explore</w:t>
      </w:r>
      <w:r w:rsidRPr="00F2449F">
        <w:rPr>
          <w:lang w:val="en-US"/>
        </w:rPr>
        <w:t xml:space="preserve"> the conceptualization </w:t>
      </w:r>
      <w:r w:rsidRPr="00F2449F">
        <w:rPr>
          <w:lang w:val="en-US"/>
        </w:rPr>
        <w:lastRenderedPageBreak/>
        <w:t xml:space="preserve">of adaptation, referencing the continuous body of research on business relationships and networks. This investigation scrutinizes how, within the B2B domain, relationships can emerge as a pivotal source of stability and flexibility, yet simultaneously demand substantial adaptation endeavors. Following the exposition of the research methodology, the paper delineates the findings of the study and discusses the implications for academic theory and managerial practice. </w:t>
      </w:r>
    </w:p>
    <w:p w14:paraId="00000010" w14:textId="77777777" w:rsidR="00985B1F" w:rsidRPr="00F2449F" w:rsidRDefault="00985B1F" w:rsidP="007B62B8">
      <w:pPr>
        <w:spacing w:line="480" w:lineRule="auto"/>
        <w:jc w:val="both"/>
        <w:rPr>
          <w:b/>
          <w:lang w:val="en-US"/>
        </w:rPr>
      </w:pPr>
    </w:p>
    <w:p w14:paraId="00000011" w14:textId="77777777" w:rsidR="00985B1F" w:rsidRPr="00F2449F" w:rsidRDefault="00717D17" w:rsidP="007B62B8">
      <w:pPr>
        <w:spacing w:line="480" w:lineRule="auto"/>
        <w:jc w:val="both"/>
        <w:rPr>
          <w:b/>
          <w:lang w:val="en-US"/>
        </w:rPr>
      </w:pPr>
      <w:r w:rsidRPr="00F2449F">
        <w:rPr>
          <w:b/>
          <w:lang w:val="en-US"/>
        </w:rPr>
        <w:t>2. Theoretical Background</w:t>
      </w:r>
    </w:p>
    <w:p w14:paraId="00000012" w14:textId="014ACB15" w:rsidR="00985B1F" w:rsidRPr="00F2449F" w:rsidRDefault="00717D17" w:rsidP="007B62B8">
      <w:pPr>
        <w:spacing w:line="480" w:lineRule="auto"/>
        <w:ind w:firstLine="720"/>
        <w:jc w:val="both"/>
        <w:rPr>
          <w:lang w:val="en-US"/>
        </w:rPr>
      </w:pPr>
      <w:r w:rsidRPr="00F2449F">
        <w:rPr>
          <w:lang w:val="en-US"/>
        </w:rPr>
        <w:t xml:space="preserve">This section provides the background for the empirical analysis of the study. We first delve into the intricate landscape of uncertainty, dissecting its various dimensions and exploring its implications for companies operating in B2B business environments. Following this, we offer an examination of the concept of adaptation and its evolution in the academic literature. The third section synthesizes the key contribution to present a framework to be applied to explain adaptation amidst conditions of endemic uncertainty. </w:t>
      </w:r>
    </w:p>
    <w:p w14:paraId="2D5D8885" w14:textId="77777777" w:rsidR="0057551D" w:rsidRPr="00F2449F" w:rsidRDefault="0057551D" w:rsidP="007B62B8">
      <w:pPr>
        <w:spacing w:line="480" w:lineRule="auto"/>
        <w:ind w:firstLine="720"/>
        <w:jc w:val="both"/>
        <w:rPr>
          <w:b/>
          <w:lang w:val="en-US"/>
        </w:rPr>
      </w:pPr>
    </w:p>
    <w:p w14:paraId="00000013" w14:textId="77777777" w:rsidR="00985B1F" w:rsidRPr="00F2449F" w:rsidRDefault="00717D17" w:rsidP="007B62B8">
      <w:pPr>
        <w:spacing w:line="480" w:lineRule="auto"/>
        <w:jc w:val="both"/>
        <w:rPr>
          <w:b/>
          <w:highlight w:val="yellow"/>
          <w:lang w:val="en-US"/>
        </w:rPr>
      </w:pPr>
      <w:r w:rsidRPr="00F2449F">
        <w:rPr>
          <w:b/>
          <w:lang w:val="en-US"/>
        </w:rPr>
        <w:t>2.1. Coping with uncertainty in B2B business environments</w:t>
      </w:r>
    </w:p>
    <w:p w14:paraId="00000014" w14:textId="77777777"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In the realm of business, the concept of uncertainty refers to the unpredictability and lack of clarity (Duncan, 1972; Galbraith, 1977; Miles &amp; Snow, 1978; Pfeffer &amp; Salancik, 1978) surrounding future events, outcomes. It further pertains to the challenge of accurately prognosticating industry or market dynamic (Miller, 1993; Miller &amp; Shamsie, 1999) that hold the potential to exert substantial influence on an organization's operational dynamics, strategic initiatives, and decision-making processes (Singh &amp; Hong, 2020). This prevailing sense of uncertainty compels businesses to grapple with an intricate web of factors that lie beyond their immediate control, thus underscoring the complexity inherent in contemporary business environments. As such, understanding and effectively navigating uncertainty has emerged as an imperative aspect of strategic management in modern organizations.</w:t>
      </w:r>
    </w:p>
    <w:p w14:paraId="00000015" w14:textId="31FCCE52"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lastRenderedPageBreak/>
        <w:t>Uncertainty can arise from a variety of sources, including changes in market dynamics, technological advancements, regulatory shifts, economic fluctuations, geopolitical tensions, and unexpected events such as natural disasters or global pandemics (Buckley &amp; Carter, 1999; von Gelderen</w:t>
      </w:r>
      <w:r w:rsidR="007D760F" w:rsidRPr="00F2449F">
        <w:rPr>
          <w:color w:val="000000"/>
          <w:lang w:val="en-US"/>
        </w:rPr>
        <w:t>, Frese &amp; Thurik</w:t>
      </w:r>
      <w:r w:rsidRPr="00F2449F">
        <w:rPr>
          <w:color w:val="000000"/>
          <w:lang w:val="en-US"/>
        </w:rPr>
        <w:t xml:space="preserve">, 2000). While uncertainty has been previously considered as either external or internal according to its source (Kahneman &amp; Tversky, 1982), more recent studies take into account the development of the business environment that is confronted with increasingly hybrid sources of uncertainty (Magnani &amp; Zucchella, 2019). </w:t>
      </w:r>
    </w:p>
    <w:p w14:paraId="00000016" w14:textId="77777777"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The concept of uncertainty is intricately linked with that of risk. More precisely, the perception of risk plays a pivotal role in determining the level of strategic uncertainty, thereby influencing the decision between exploration of new resources in high uncertainty scenarios and the exploitation of existing ones in low uncertainty contexts (Hoffmann, 2007). This dynamic underpins individuals' inclination to adhere to the status quo, persisting with current resource allocation strategies, even when it is evident that such strategies may be suboptimal (Sawyer, 1990). Notably, studies have also delved into how uncertainty often triggers counterproductive behaviors like avoidance (Broekhuizen, Giarratana &amp; Torres, 2017). Nonetheless, there exists a broader discourse on how uncertainty molds network structures. Organizations, when confronted with varying forms of uncertainty, deliberate on their choice of partners, viewing established relationships as a mode of exploitation and new affiliations as avenues for exploration (Beckman, Haunschild &amp; Phillips, 2004). Additionally, research posits that the configuration of networks can also influence organizations' orientations towards uncertainty (Guler &amp; Guillén, 2010).</w:t>
      </w:r>
    </w:p>
    <w:p w14:paraId="00000017" w14:textId="620E9392"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The escalating unpredictability of the contemporary business milieu presents a critical challenge for B2B enterprises in accurately prognosticating trends, foreseeing customer and partner behavior, devising contingency plans, and formulating enduring strategies. In an environment where uncertainty defies conventional mapping, an organization's capacity to effectively navigate it emerges as a pivotal factor in determining its viability (Anderson &amp; Tushman, 2001). Consequently, businesses have directed their endeavors towards minimizing and managing uncertainty (</w:t>
      </w:r>
      <w:r w:rsidRPr="00F2449F">
        <w:rPr>
          <w:lang w:val="en-US"/>
        </w:rPr>
        <w:t xml:space="preserve">Day &amp; </w:t>
      </w:r>
      <w:r w:rsidRPr="00F2449F">
        <w:rPr>
          <w:lang w:val="en-US"/>
        </w:rPr>
        <w:lastRenderedPageBreak/>
        <w:t xml:space="preserve">Schoemaker, 2016) </w:t>
      </w:r>
      <w:r w:rsidRPr="00F2449F">
        <w:rPr>
          <w:color w:val="000000"/>
          <w:lang w:val="en-US"/>
        </w:rPr>
        <w:t>oftentimes striving to transition it into a more tractable realm of risk (Bewley, 2002; Magnani &amp; Zucchella, 2019). Nevertheless, in the pursuit of uncertainty reduction and streamlined decision-making, individuals frequently resort to employing heuristics, or cognitive shortcuts, inadvertently incurring cognitive biases (Tversky &amp; Kahneman, 1974). Notably, the adept utilization of heuristics streamlines resource allocation by bypassing information overload. However, conversely, exhaustive analyses may engender an illusion of certainty (Mousavi &amp; Gigerenzer, 2014).</w:t>
      </w:r>
    </w:p>
    <w:p w14:paraId="00000018" w14:textId="14967364"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Despite the acknowledgment that mere reliance on data collection and environmental awareness may fall short in completely mitigating uncertainty (Mousavi &amp; Gigerenzer, 2014), it is evident that additional factors are at play in safeguarding the organizational viability amidst unpredictable events. These factors encompass the need to address inefficiencies in resistance strategies and the potential for extreme efforts in the face of disruptions, thus emphasizing the significance of strategic adaptation. Indeed, Joseph and Ocasio (2012) posit that organizations endowed with the ability to adeptly leverage existing resources while simultaneously exploring their external environment for novel opportunities, commonly known as ambidexterity</w:t>
      </w:r>
      <w:r w:rsidR="00574716" w:rsidRPr="00F2449F">
        <w:rPr>
          <w:color w:val="000000"/>
          <w:lang w:val="en-US"/>
        </w:rPr>
        <w:t>,</w:t>
      </w:r>
      <w:r w:rsidRPr="00F2449F">
        <w:rPr>
          <w:color w:val="000000"/>
          <w:lang w:val="en-US"/>
        </w:rPr>
        <w:t xml:space="preserve"> may be better poised to effectively navigate uncertainty. Ambidexterity involves the dual capability of an organization to exploit its current resources to their full potential while also actively exploring the external landscape for potential avenues of innovation and growth (Joseph </w:t>
      </w:r>
      <w:r w:rsidR="00574716" w:rsidRPr="00F2449F">
        <w:rPr>
          <w:color w:val="000000"/>
          <w:lang w:val="en-US"/>
        </w:rPr>
        <w:t>&amp;</w:t>
      </w:r>
      <w:r w:rsidRPr="00F2449F">
        <w:rPr>
          <w:color w:val="000000"/>
          <w:lang w:val="en-US"/>
        </w:rPr>
        <w:t xml:space="preserve"> Ocasio, 2012). This duality enables an organization to strike a balance between optimizing its existing strengths and venturing into uncharted territories, thus enhancing its capacity to effectively respond to unpredictable events and capitalize on emerging opportunities in the business environment. In this context, ambidexterity emerges as a crucial organizational trait that facilitates resilience and adaptability in the face of uncertainty. </w:t>
      </w:r>
    </w:p>
    <w:p w14:paraId="00000019" w14:textId="2FFAFC51"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 xml:space="preserve">Thriving in uncertain times involves developing strategies that allow organizations to remain agile, adaptable, and capable of responding effectively to unforeseen changes, thereby minimizing potential negative impacts and harnessing opportunities that emerge amid uncertain conditions </w:t>
      </w:r>
      <w:sdt>
        <w:sdtPr>
          <w:rPr>
            <w:lang w:val="en-US"/>
          </w:rPr>
          <w:tag w:val="goog_rdk_2"/>
          <w:id w:val="1364553275"/>
        </w:sdtPr>
        <w:sdtEndPr/>
        <w:sdtContent/>
      </w:sdt>
      <w:r w:rsidRPr="00F2449F">
        <w:rPr>
          <w:color w:val="000000"/>
          <w:lang w:val="en-US"/>
        </w:rPr>
        <w:t xml:space="preserve">(Hillmann &amp; Guenther, 2021). Hence, in the current environment, as characterized by an increased </w:t>
      </w:r>
      <w:r w:rsidRPr="00F2449F">
        <w:rPr>
          <w:color w:val="000000"/>
          <w:lang w:val="en-US"/>
        </w:rPr>
        <w:lastRenderedPageBreak/>
        <w:t>occurrence of these mentioned disruptions, it is fundamentally important that organizations move beyond uncertainty prevention and reduction approaches and become sensitive to such transformations and then flexibly adapt to avoid leaving expectational gaps or open vulnerabilities that may affect their viability or that of their network of relationships (Magnani &amp; Zucchella, 2019; Hillmann &amp; Guenther, 2021).</w:t>
      </w:r>
    </w:p>
    <w:p w14:paraId="4AAE6B25" w14:textId="77777777" w:rsidR="00574716" w:rsidRPr="00F2449F" w:rsidRDefault="00574716" w:rsidP="007B62B8">
      <w:pPr>
        <w:pBdr>
          <w:top w:val="nil"/>
          <w:left w:val="nil"/>
          <w:bottom w:val="nil"/>
          <w:right w:val="nil"/>
          <w:between w:val="nil"/>
        </w:pBdr>
        <w:spacing w:line="480" w:lineRule="auto"/>
        <w:ind w:firstLine="720"/>
        <w:jc w:val="both"/>
        <w:rPr>
          <w:color w:val="000000"/>
          <w:lang w:val="en-US"/>
        </w:rPr>
      </w:pPr>
    </w:p>
    <w:p w14:paraId="0000001A" w14:textId="77777777" w:rsidR="00985B1F" w:rsidRPr="00F2449F" w:rsidRDefault="00717D17" w:rsidP="007B62B8">
      <w:pPr>
        <w:pBdr>
          <w:top w:val="nil"/>
          <w:left w:val="nil"/>
          <w:bottom w:val="nil"/>
          <w:right w:val="nil"/>
          <w:between w:val="nil"/>
        </w:pBdr>
        <w:spacing w:line="480" w:lineRule="auto"/>
        <w:jc w:val="both"/>
        <w:rPr>
          <w:b/>
          <w:color w:val="000000"/>
          <w:lang w:val="en-US"/>
        </w:rPr>
      </w:pPr>
      <w:r w:rsidRPr="00F2449F">
        <w:rPr>
          <w:b/>
          <w:color w:val="000000"/>
          <w:lang w:val="en-US"/>
        </w:rPr>
        <w:t>2.2. Adaptation in B2B networks</w:t>
      </w:r>
    </w:p>
    <w:p w14:paraId="0000001B" w14:textId="463D7692"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The concept of adaptation has undergone a transformative evolution, reflecting shifts in the understanding of how organizations respond to changing environments. Table 1</w:t>
      </w:r>
      <w:r w:rsidR="00574716" w:rsidRPr="00F2449F">
        <w:rPr>
          <w:color w:val="000000"/>
          <w:lang w:val="en-US"/>
        </w:rPr>
        <w:t>.</w:t>
      </w:r>
      <w:r w:rsidRPr="00F2449F">
        <w:rPr>
          <w:color w:val="000000"/>
          <w:lang w:val="en-US"/>
        </w:rPr>
        <w:t xml:space="preserve"> presents an overview of the evolution of the concept of adaptation. Initially, adaptation was perceived as the ability to withstand and recover from unexpected events (Holling, 1973). It then expanded to encompass behavioral modifications undertaken by organizations to meet the specific needs of others (Brennan &amp; Turnbull, 199</w:t>
      </w:r>
      <w:r w:rsidR="00F84739" w:rsidRPr="00F2449F">
        <w:rPr>
          <w:color w:val="000000"/>
          <w:lang w:val="en-US"/>
        </w:rPr>
        <w:t>5</w:t>
      </w:r>
      <w:r w:rsidRPr="00F2449F">
        <w:rPr>
          <w:color w:val="000000"/>
          <w:lang w:val="en-US"/>
        </w:rPr>
        <w:t>). Over the years, scholarly research has approached the concept of organizational adaptation from various perspectives. These perspectives include viewing adaptation as a result of organizational relationships (Brennan &amp; Turnbull, 1999; Vargo &amp; Lusch, 2004, 2008; Gulati, Lawrence &amp; Puranam, 2005; Guercini et al., 2014), as a reaction to crises or responses to adverse events and disruptions (Holling, 1973; Sturges, 1994; Sheppard 2011; Coombs, 2015), and as an ongoing process aimed at navigating and managing uncertainty (Vargo &amp; Lusch, 2004, 2008; Gulati, Lawrence &amp; Puranam, 2005; Purohit &amp; Mehta, 2020; Ritter &amp; Pedersen, 2020; Singh et al., 2020).</w:t>
      </w:r>
    </w:p>
    <w:p w14:paraId="0000001C" w14:textId="77777777"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 xml:space="preserve">More recently, the strategic management literature defined adaptation as intentional decision-making aimed at aligning an organization with its economic and institutional environments (Sarta, Durand &amp; Vergne, 2021). In their systematic literature review on organizational adaptation, Sarta, Durand &amp; Vergne (2021) highlight three primary areas of inquiry: the motivations behind adaptation, the internal factors influencing or enabling it, and the external environmental pressures driving it, showing how organizations respond to changes in their internal and external surroundings and how they develop resources, capabilities, and routines to enhance performance and competitiveness. </w:t>
      </w:r>
    </w:p>
    <w:p w14:paraId="0000001D" w14:textId="3DCD92F8"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lastRenderedPageBreak/>
        <w:t>This perspective highlights the critical role of adaptation in B2B networks and relationships. Indeed, the relational perspective on adaptation underscores the significance of business relationships and networks in driving adaptability (Gulati, Lawrence &amp; Puranam, 2005; Corsaro &amp; Snehota, 2012). In this context, adaptation represents an organization's capacity to adjust to unexpected changes while considering the actions and reactions of other network participants (Gulati, Lawrence &amp; Puranam, 2005). Such adaptation occurs through processes of aligning and matching resources and operations among interacting organizations (Gadde &amp; Håkansson, 1993; Grönroos &amp; Helle, 2010, 2012). Specifically, this perspective reveals how an organization's adaptive choices in response to its environment can impact various stakeholders, including partners, suppliers, and competitors. Adaptation can manifest in two distinct forms: proactive or reactive adaptation. Proactive adaptation involves strategic decisions regarding relationship and resource management, while reactive adaptation pertains to behavioral adjustments that occur naturally within interactions (Brennan et al., 2003; Hallén, Johanson &amp; S</w:t>
      </w:r>
      <w:r w:rsidR="00650B1A" w:rsidRPr="00F2449F">
        <w:rPr>
          <w:color w:val="000000"/>
          <w:lang w:val="en-US"/>
        </w:rPr>
        <w:t>e</w:t>
      </w:r>
      <w:r w:rsidRPr="00F2449F">
        <w:rPr>
          <w:color w:val="000000"/>
          <w:lang w:val="en-US"/>
        </w:rPr>
        <w:t xml:space="preserve">yed-Mohamed, 1991). </w:t>
      </w:r>
    </w:p>
    <w:p w14:paraId="0000001E" w14:textId="77777777"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 xml:space="preserve">When referring to B2B networks adaptation requires dedicated strategies and practices to navigate environmental or network challenges. According to perspective, Guercini et al. (2014) put forward the need for continuous adaptations in business relationships due to interdependencies and environmental or network challenges. Specifically, organizations must engage in extensive interaction with their partners and adapt their strategies accordingly by combining and interfacing resources, linking and configuring activities, and developing effective relational solutions and arrangements (Guercini et al., 2014). The process of adaptation can vary in complexity and visibility, with extended adaptation within a close network relationship potentially increasing mutual dependence while diminishing control (Heide &amp; John, 1992). Thus, organizations often grapple with a paradox: adaptation to a partner may be viewed as a cost and a loss of control, yet failure to adapt can jeopardize the relationship's development and harm the network (Hagberg-Andersson, 2006). </w:t>
      </w:r>
    </w:p>
    <w:p w14:paraId="0000001F" w14:textId="77777777" w:rsidR="00985B1F" w:rsidRPr="00F2449F" w:rsidRDefault="00717D17" w:rsidP="007B62B8">
      <w:pPr>
        <w:spacing w:line="480" w:lineRule="auto"/>
        <w:ind w:firstLine="720"/>
        <w:jc w:val="both"/>
        <w:rPr>
          <w:lang w:val="en-US"/>
        </w:rPr>
      </w:pPr>
      <w:r w:rsidRPr="00F2449F">
        <w:rPr>
          <w:lang w:val="en-US"/>
        </w:rPr>
        <w:t xml:space="preserve">The evolution of the organizational adaptation concept has highlighted its intricate nature, encompassing a spectrum of responses ranging from proactive to reactive, and involving intricate </w:t>
      </w:r>
      <w:r w:rsidRPr="00F2449F">
        <w:rPr>
          <w:lang w:val="en-US"/>
        </w:rPr>
        <w:lastRenderedPageBreak/>
        <w:t>relational dynamics and strategic operational approaches. Nevertheless, organizations face an ongoing challenge in finding the right equilibrium between adapting to their environment and upholding control, particularly amidst the intricate landscape of endemic uncertainty.</w:t>
      </w:r>
    </w:p>
    <w:p w14:paraId="00000020" w14:textId="77777777" w:rsidR="00985B1F" w:rsidRPr="00F2449F" w:rsidRDefault="00985B1F" w:rsidP="007B62B8">
      <w:pPr>
        <w:spacing w:line="480" w:lineRule="auto"/>
        <w:ind w:firstLine="720"/>
        <w:jc w:val="both"/>
        <w:rPr>
          <w:lang w:val="en-US"/>
        </w:rPr>
      </w:pPr>
    </w:p>
    <w:p w14:paraId="00000021" w14:textId="6E6D2010" w:rsidR="00985B1F" w:rsidRPr="00F2449F" w:rsidRDefault="00717D17" w:rsidP="007B62B8">
      <w:pPr>
        <w:spacing w:line="480" w:lineRule="auto"/>
        <w:jc w:val="both"/>
        <w:rPr>
          <w:b/>
          <w:lang w:val="en-US"/>
        </w:rPr>
      </w:pPr>
      <w:r w:rsidRPr="00F2449F">
        <w:rPr>
          <w:b/>
          <w:lang w:val="en-US"/>
        </w:rPr>
        <w:t>Table 1: The Evolution of the Concept of Adaptation</w:t>
      </w:r>
    </w:p>
    <w:tbl>
      <w:tblPr>
        <w:tblStyle w:val="a"/>
        <w:tblW w:w="9209"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1023"/>
        <w:gridCol w:w="2378"/>
        <w:gridCol w:w="1452"/>
        <w:gridCol w:w="1452"/>
        <w:gridCol w:w="1452"/>
        <w:gridCol w:w="1452"/>
      </w:tblGrid>
      <w:tr w:rsidR="00985B1F" w:rsidRPr="00EA736D" w14:paraId="7209D46E" w14:textId="77777777" w:rsidTr="007B62B8">
        <w:trPr>
          <w:trHeight w:val="1042"/>
        </w:trPr>
        <w:tc>
          <w:tcPr>
            <w:tcW w:w="1023" w:type="dxa"/>
          </w:tcPr>
          <w:p w14:paraId="00000022" w14:textId="77777777" w:rsidR="00985B1F" w:rsidRPr="00F2449F" w:rsidRDefault="00717D17" w:rsidP="007B62B8">
            <w:pPr>
              <w:rPr>
                <w:b/>
                <w:sz w:val="20"/>
                <w:szCs w:val="20"/>
                <w:lang w:val="en-US"/>
              </w:rPr>
            </w:pPr>
            <w:r w:rsidRPr="00F2449F">
              <w:rPr>
                <w:b/>
                <w:sz w:val="20"/>
                <w:szCs w:val="20"/>
                <w:lang w:val="en-US"/>
              </w:rPr>
              <w:t>Author</w:t>
            </w:r>
          </w:p>
        </w:tc>
        <w:tc>
          <w:tcPr>
            <w:tcW w:w="2378" w:type="dxa"/>
          </w:tcPr>
          <w:p w14:paraId="00000023" w14:textId="77777777" w:rsidR="00985B1F" w:rsidRPr="00F2449F" w:rsidRDefault="00717D17" w:rsidP="007B62B8">
            <w:pPr>
              <w:rPr>
                <w:b/>
                <w:sz w:val="20"/>
                <w:szCs w:val="20"/>
                <w:lang w:val="en-US"/>
              </w:rPr>
            </w:pPr>
            <w:r w:rsidRPr="00F2449F">
              <w:rPr>
                <w:b/>
                <w:sz w:val="20"/>
                <w:szCs w:val="20"/>
                <w:lang w:val="en-US"/>
              </w:rPr>
              <w:t>Definition of adaption</w:t>
            </w:r>
          </w:p>
        </w:tc>
        <w:tc>
          <w:tcPr>
            <w:tcW w:w="1452" w:type="dxa"/>
          </w:tcPr>
          <w:p w14:paraId="00000024" w14:textId="77777777" w:rsidR="00985B1F" w:rsidRPr="00F2449F" w:rsidRDefault="00717D17" w:rsidP="007B62B8">
            <w:pPr>
              <w:rPr>
                <w:b/>
                <w:sz w:val="20"/>
                <w:szCs w:val="20"/>
                <w:lang w:val="en-US"/>
              </w:rPr>
            </w:pPr>
            <w:r w:rsidRPr="00F2449F">
              <w:rPr>
                <w:b/>
                <w:sz w:val="20"/>
                <w:szCs w:val="20"/>
                <w:lang w:val="en-US"/>
              </w:rPr>
              <w:t>Outcome of organizational relationships</w:t>
            </w:r>
          </w:p>
        </w:tc>
        <w:tc>
          <w:tcPr>
            <w:tcW w:w="1452" w:type="dxa"/>
          </w:tcPr>
          <w:p w14:paraId="00000025" w14:textId="77777777" w:rsidR="00985B1F" w:rsidRPr="00F2449F" w:rsidRDefault="00717D17" w:rsidP="007B62B8">
            <w:pPr>
              <w:rPr>
                <w:b/>
                <w:sz w:val="20"/>
                <w:szCs w:val="20"/>
                <w:lang w:val="en-US"/>
              </w:rPr>
            </w:pPr>
            <w:r w:rsidRPr="00F2449F">
              <w:rPr>
                <w:b/>
                <w:sz w:val="20"/>
                <w:szCs w:val="20"/>
                <w:lang w:val="en-US"/>
              </w:rPr>
              <w:t xml:space="preserve">Adversity management response strategy </w:t>
            </w:r>
          </w:p>
        </w:tc>
        <w:tc>
          <w:tcPr>
            <w:tcW w:w="1452" w:type="dxa"/>
          </w:tcPr>
          <w:p w14:paraId="00000026" w14:textId="77777777" w:rsidR="00985B1F" w:rsidRPr="00F2449F" w:rsidRDefault="00717D17" w:rsidP="007B62B8">
            <w:pPr>
              <w:rPr>
                <w:b/>
                <w:sz w:val="20"/>
                <w:szCs w:val="20"/>
                <w:lang w:val="en-US"/>
              </w:rPr>
            </w:pPr>
            <w:r w:rsidRPr="00F2449F">
              <w:rPr>
                <w:b/>
                <w:sz w:val="20"/>
                <w:szCs w:val="20"/>
                <w:lang w:val="en-US"/>
              </w:rPr>
              <w:t>Continuous process for coping with uncertainty</w:t>
            </w:r>
          </w:p>
        </w:tc>
        <w:tc>
          <w:tcPr>
            <w:tcW w:w="1452" w:type="dxa"/>
          </w:tcPr>
          <w:p w14:paraId="00000027" w14:textId="77777777" w:rsidR="00985B1F" w:rsidRPr="00F2449F" w:rsidRDefault="00717D17" w:rsidP="007B62B8">
            <w:pPr>
              <w:rPr>
                <w:b/>
                <w:sz w:val="20"/>
                <w:szCs w:val="20"/>
                <w:lang w:val="en-US"/>
              </w:rPr>
            </w:pPr>
            <w:r w:rsidRPr="00F2449F">
              <w:rPr>
                <w:b/>
                <w:sz w:val="20"/>
                <w:szCs w:val="20"/>
                <w:lang w:val="en-US"/>
              </w:rPr>
              <w:t>Improve and prosper under conditions of uncertainty</w:t>
            </w:r>
          </w:p>
        </w:tc>
      </w:tr>
      <w:tr w:rsidR="00985B1F" w:rsidRPr="00F2449F" w14:paraId="7E277F09" w14:textId="77777777" w:rsidTr="007B62B8">
        <w:trPr>
          <w:trHeight w:val="1198"/>
        </w:trPr>
        <w:tc>
          <w:tcPr>
            <w:tcW w:w="1023" w:type="dxa"/>
          </w:tcPr>
          <w:p w14:paraId="00000028" w14:textId="77777777" w:rsidR="00985B1F" w:rsidRPr="00F2449F" w:rsidRDefault="00717D17" w:rsidP="007B62B8">
            <w:pPr>
              <w:pBdr>
                <w:top w:val="nil"/>
                <w:left w:val="nil"/>
                <w:bottom w:val="nil"/>
                <w:right w:val="nil"/>
                <w:between w:val="nil"/>
              </w:pBdr>
              <w:rPr>
                <w:color w:val="000000"/>
                <w:sz w:val="20"/>
                <w:szCs w:val="20"/>
                <w:lang w:val="en-US"/>
              </w:rPr>
            </w:pPr>
            <w:r w:rsidRPr="00F2449F">
              <w:rPr>
                <w:color w:val="000000"/>
                <w:sz w:val="20"/>
                <w:szCs w:val="20"/>
                <w:lang w:val="en-US"/>
              </w:rPr>
              <w:t>Holling (1973)</w:t>
            </w:r>
          </w:p>
        </w:tc>
        <w:tc>
          <w:tcPr>
            <w:tcW w:w="2378" w:type="dxa"/>
          </w:tcPr>
          <w:p w14:paraId="00000029" w14:textId="77777777" w:rsidR="00985B1F" w:rsidRPr="00F2449F" w:rsidRDefault="00717D17" w:rsidP="007B62B8">
            <w:pPr>
              <w:pBdr>
                <w:top w:val="nil"/>
                <w:left w:val="nil"/>
                <w:bottom w:val="nil"/>
                <w:right w:val="nil"/>
                <w:between w:val="nil"/>
              </w:pBdr>
              <w:rPr>
                <w:color w:val="000000"/>
                <w:sz w:val="20"/>
                <w:szCs w:val="20"/>
                <w:lang w:val="en-US"/>
              </w:rPr>
            </w:pPr>
            <w:r w:rsidRPr="00F2449F">
              <w:rPr>
                <w:color w:val="000000"/>
                <w:sz w:val="20"/>
                <w:szCs w:val="20"/>
                <w:lang w:val="en-US"/>
              </w:rPr>
              <w:t>The ability to resist and recover from unexpected events.</w:t>
            </w:r>
          </w:p>
        </w:tc>
        <w:tc>
          <w:tcPr>
            <w:tcW w:w="1452" w:type="dxa"/>
          </w:tcPr>
          <w:p w14:paraId="0000002A" w14:textId="77777777" w:rsidR="00985B1F" w:rsidRPr="00F2449F" w:rsidRDefault="00717D17" w:rsidP="007B62B8">
            <w:pPr>
              <w:jc w:val="both"/>
              <w:rPr>
                <w:b/>
                <w:sz w:val="20"/>
                <w:szCs w:val="20"/>
                <w:lang w:val="en-US"/>
              </w:rPr>
            </w:pPr>
            <w:r w:rsidRPr="00F2449F">
              <w:rPr>
                <w:b/>
                <w:sz w:val="20"/>
                <w:szCs w:val="20"/>
                <w:lang w:val="en-US"/>
              </w:rPr>
              <w:t>No</w:t>
            </w:r>
          </w:p>
        </w:tc>
        <w:tc>
          <w:tcPr>
            <w:tcW w:w="1452" w:type="dxa"/>
          </w:tcPr>
          <w:p w14:paraId="0000002B" w14:textId="77777777" w:rsidR="00985B1F" w:rsidRPr="00F2449F" w:rsidRDefault="00717D17" w:rsidP="007B62B8">
            <w:pPr>
              <w:jc w:val="both"/>
              <w:rPr>
                <w:b/>
                <w:sz w:val="20"/>
                <w:szCs w:val="20"/>
                <w:lang w:val="en-US"/>
              </w:rPr>
            </w:pPr>
            <w:r w:rsidRPr="00F2449F">
              <w:rPr>
                <w:b/>
                <w:sz w:val="20"/>
                <w:szCs w:val="20"/>
                <w:lang w:val="en-US"/>
              </w:rPr>
              <w:t>Yes</w:t>
            </w:r>
          </w:p>
        </w:tc>
        <w:tc>
          <w:tcPr>
            <w:tcW w:w="1452" w:type="dxa"/>
          </w:tcPr>
          <w:p w14:paraId="0000002C" w14:textId="77777777" w:rsidR="00985B1F" w:rsidRPr="00F2449F" w:rsidRDefault="00717D17" w:rsidP="007B62B8">
            <w:pPr>
              <w:jc w:val="both"/>
              <w:rPr>
                <w:b/>
                <w:sz w:val="20"/>
                <w:szCs w:val="20"/>
                <w:lang w:val="en-US"/>
              </w:rPr>
            </w:pPr>
            <w:r w:rsidRPr="00F2449F">
              <w:rPr>
                <w:b/>
                <w:sz w:val="20"/>
                <w:szCs w:val="20"/>
                <w:lang w:val="en-US"/>
              </w:rPr>
              <w:t>No</w:t>
            </w:r>
          </w:p>
        </w:tc>
        <w:tc>
          <w:tcPr>
            <w:tcW w:w="1452" w:type="dxa"/>
          </w:tcPr>
          <w:p w14:paraId="0000002D" w14:textId="77777777" w:rsidR="00985B1F" w:rsidRPr="00F2449F" w:rsidRDefault="00717D17" w:rsidP="007B62B8">
            <w:pPr>
              <w:jc w:val="both"/>
              <w:rPr>
                <w:b/>
                <w:sz w:val="20"/>
                <w:szCs w:val="20"/>
                <w:lang w:val="en-US"/>
              </w:rPr>
            </w:pPr>
            <w:r w:rsidRPr="00F2449F">
              <w:rPr>
                <w:b/>
                <w:sz w:val="20"/>
                <w:szCs w:val="20"/>
                <w:lang w:val="en-US"/>
              </w:rPr>
              <w:t>No</w:t>
            </w:r>
          </w:p>
        </w:tc>
      </w:tr>
      <w:tr w:rsidR="00985B1F" w:rsidRPr="00F2449F" w14:paraId="4C417EDE" w14:textId="77777777" w:rsidTr="007B62B8">
        <w:trPr>
          <w:trHeight w:val="1198"/>
        </w:trPr>
        <w:tc>
          <w:tcPr>
            <w:tcW w:w="1023" w:type="dxa"/>
          </w:tcPr>
          <w:p w14:paraId="0000002E" w14:textId="77777777" w:rsidR="00985B1F" w:rsidRPr="00F2449F" w:rsidRDefault="00717D17" w:rsidP="007B62B8">
            <w:pPr>
              <w:pBdr>
                <w:top w:val="nil"/>
                <w:left w:val="nil"/>
                <w:bottom w:val="nil"/>
                <w:right w:val="nil"/>
                <w:between w:val="nil"/>
              </w:pBdr>
              <w:rPr>
                <w:color w:val="000000"/>
                <w:sz w:val="20"/>
                <w:szCs w:val="20"/>
                <w:lang w:val="en-US"/>
              </w:rPr>
            </w:pPr>
            <w:r w:rsidRPr="00F2449F">
              <w:rPr>
                <w:color w:val="000000"/>
                <w:sz w:val="20"/>
                <w:szCs w:val="20"/>
                <w:lang w:val="en-US"/>
              </w:rPr>
              <w:t>Hallen et al. (1991)</w:t>
            </w:r>
          </w:p>
        </w:tc>
        <w:tc>
          <w:tcPr>
            <w:tcW w:w="2378" w:type="dxa"/>
          </w:tcPr>
          <w:p w14:paraId="0000002F" w14:textId="77777777" w:rsidR="00985B1F" w:rsidRPr="00F2449F" w:rsidRDefault="00717D17" w:rsidP="007B62B8">
            <w:pPr>
              <w:pBdr>
                <w:top w:val="nil"/>
                <w:left w:val="nil"/>
                <w:bottom w:val="nil"/>
                <w:right w:val="nil"/>
                <w:between w:val="nil"/>
              </w:pBdr>
              <w:rPr>
                <w:color w:val="000000"/>
                <w:sz w:val="20"/>
                <w:szCs w:val="20"/>
                <w:lang w:val="en-US"/>
              </w:rPr>
            </w:pPr>
            <w:r w:rsidRPr="00F2449F">
              <w:rPr>
                <w:color w:val="000000"/>
                <w:sz w:val="20"/>
                <w:szCs w:val="20"/>
                <w:lang w:val="en-US"/>
              </w:rPr>
              <w:t>The optimized management of information with the goal of preparing the organization to deal with systemic change.</w:t>
            </w:r>
          </w:p>
        </w:tc>
        <w:tc>
          <w:tcPr>
            <w:tcW w:w="1452" w:type="dxa"/>
          </w:tcPr>
          <w:p w14:paraId="00000030" w14:textId="77777777" w:rsidR="00985B1F" w:rsidRPr="00F2449F" w:rsidRDefault="00717D17" w:rsidP="007B62B8">
            <w:pPr>
              <w:jc w:val="both"/>
              <w:rPr>
                <w:b/>
                <w:sz w:val="20"/>
                <w:szCs w:val="20"/>
                <w:lang w:val="en-US"/>
              </w:rPr>
            </w:pPr>
            <w:r w:rsidRPr="00F2449F">
              <w:rPr>
                <w:b/>
                <w:sz w:val="20"/>
                <w:szCs w:val="20"/>
                <w:lang w:val="en-US"/>
              </w:rPr>
              <w:t>No</w:t>
            </w:r>
          </w:p>
        </w:tc>
        <w:tc>
          <w:tcPr>
            <w:tcW w:w="1452" w:type="dxa"/>
          </w:tcPr>
          <w:p w14:paraId="00000031" w14:textId="77777777" w:rsidR="00985B1F" w:rsidRPr="00F2449F" w:rsidRDefault="00717D17" w:rsidP="007B62B8">
            <w:pPr>
              <w:jc w:val="both"/>
              <w:rPr>
                <w:b/>
                <w:sz w:val="20"/>
                <w:szCs w:val="20"/>
                <w:lang w:val="en-US"/>
              </w:rPr>
            </w:pPr>
            <w:r w:rsidRPr="00F2449F">
              <w:rPr>
                <w:b/>
                <w:sz w:val="20"/>
                <w:szCs w:val="20"/>
                <w:lang w:val="en-US"/>
              </w:rPr>
              <w:t>No</w:t>
            </w:r>
          </w:p>
        </w:tc>
        <w:tc>
          <w:tcPr>
            <w:tcW w:w="1452" w:type="dxa"/>
          </w:tcPr>
          <w:p w14:paraId="00000032" w14:textId="77777777" w:rsidR="00985B1F" w:rsidRPr="00F2449F" w:rsidRDefault="00717D17" w:rsidP="007B62B8">
            <w:pPr>
              <w:jc w:val="both"/>
              <w:rPr>
                <w:b/>
                <w:sz w:val="20"/>
                <w:szCs w:val="20"/>
                <w:lang w:val="en-US"/>
              </w:rPr>
            </w:pPr>
            <w:r w:rsidRPr="00F2449F">
              <w:rPr>
                <w:b/>
                <w:sz w:val="20"/>
                <w:szCs w:val="20"/>
                <w:lang w:val="en-US"/>
              </w:rPr>
              <w:t>Yes</w:t>
            </w:r>
          </w:p>
        </w:tc>
        <w:tc>
          <w:tcPr>
            <w:tcW w:w="1452" w:type="dxa"/>
          </w:tcPr>
          <w:p w14:paraId="00000033" w14:textId="77777777" w:rsidR="00985B1F" w:rsidRPr="00F2449F" w:rsidRDefault="00717D17" w:rsidP="007B62B8">
            <w:pPr>
              <w:jc w:val="both"/>
              <w:rPr>
                <w:b/>
                <w:sz w:val="20"/>
                <w:szCs w:val="20"/>
                <w:lang w:val="en-US"/>
              </w:rPr>
            </w:pPr>
            <w:r w:rsidRPr="00F2449F">
              <w:rPr>
                <w:b/>
                <w:sz w:val="20"/>
                <w:szCs w:val="20"/>
                <w:lang w:val="en-US"/>
              </w:rPr>
              <w:t>No</w:t>
            </w:r>
          </w:p>
        </w:tc>
      </w:tr>
      <w:tr w:rsidR="00985B1F" w:rsidRPr="00F2449F" w14:paraId="07ACFB92" w14:textId="77777777" w:rsidTr="007B62B8">
        <w:trPr>
          <w:trHeight w:val="1198"/>
        </w:trPr>
        <w:tc>
          <w:tcPr>
            <w:tcW w:w="1023" w:type="dxa"/>
          </w:tcPr>
          <w:p w14:paraId="00000034" w14:textId="77777777" w:rsidR="00985B1F" w:rsidRPr="00F2449F" w:rsidRDefault="00717D17" w:rsidP="007B62B8">
            <w:pPr>
              <w:pBdr>
                <w:top w:val="nil"/>
                <w:left w:val="nil"/>
                <w:bottom w:val="nil"/>
                <w:right w:val="nil"/>
                <w:between w:val="nil"/>
              </w:pBdr>
              <w:rPr>
                <w:color w:val="000000"/>
                <w:sz w:val="20"/>
                <w:szCs w:val="20"/>
                <w:lang w:val="en-US"/>
              </w:rPr>
            </w:pPr>
            <w:r w:rsidRPr="00F2449F">
              <w:rPr>
                <w:color w:val="000000"/>
                <w:sz w:val="20"/>
                <w:szCs w:val="20"/>
                <w:lang w:val="en-US"/>
              </w:rPr>
              <w:t>Sturges (1994); Coombs (2015)</w:t>
            </w:r>
          </w:p>
        </w:tc>
        <w:tc>
          <w:tcPr>
            <w:tcW w:w="2378" w:type="dxa"/>
          </w:tcPr>
          <w:p w14:paraId="00000035" w14:textId="77777777" w:rsidR="00985B1F" w:rsidRPr="00F2449F" w:rsidRDefault="00717D17" w:rsidP="007B62B8">
            <w:pPr>
              <w:pBdr>
                <w:top w:val="nil"/>
                <w:left w:val="nil"/>
                <w:bottom w:val="nil"/>
                <w:right w:val="nil"/>
                <w:between w:val="nil"/>
              </w:pBdr>
              <w:rPr>
                <w:color w:val="000000"/>
                <w:sz w:val="20"/>
                <w:szCs w:val="20"/>
                <w:lang w:val="en-US"/>
              </w:rPr>
            </w:pPr>
            <w:r w:rsidRPr="00F2449F">
              <w:rPr>
                <w:color w:val="000000"/>
                <w:sz w:val="20"/>
                <w:szCs w:val="20"/>
                <w:lang w:val="en-US"/>
              </w:rPr>
              <w:t>A process that helps people and organizations cope with disruptions.</w:t>
            </w:r>
          </w:p>
        </w:tc>
        <w:tc>
          <w:tcPr>
            <w:tcW w:w="1452" w:type="dxa"/>
          </w:tcPr>
          <w:p w14:paraId="00000036" w14:textId="77777777" w:rsidR="00985B1F" w:rsidRPr="00F2449F" w:rsidRDefault="00717D17" w:rsidP="007B62B8">
            <w:pPr>
              <w:jc w:val="both"/>
              <w:rPr>
                <w:b/>
                <w:sz w:val="20"/>
                <w:szCs w:val="20"/>
                <w:lang w:val="en-US"/>
              </w:rPr>
            </w:pPr>
            <w:r w:rsidRPr="00F2449F">
              <w:rPr>
                <w:b/>
                <w:sz w:val="20"/>
                <w:szCs w:val="20"/>
                <w:lang w:val="en-US"/>
              </w:rPr>
              <w:t>No</w:t>
            </w:r>
          </w:p>
        </w:tc>
        <w:tc>
          <w:tcPr>
            <w:tcW w:w="1452" w:type="dxa"/>
          </w:tcPr>
          <w:p w14:paraId="00000037" w14:textId="77777777" w:rsidR="00985B1F" w:rsidRPr="00F2449F" w:rsidRDefault="00717D17" w:rsidP="007B62B8">
            <w:pPr>
              <w:jc w:val="both"/>
              <w:rPr>
                <w:b/>
                <w:sz w:val="20"/>
                <w:szCs w:val="20"/>
                <w:lang w:val="en-US"/>
              </w:rPr>
            </w:pPr>
            <w:r w:rsidRPr="00F2449F">
              <w:rPr>
                <w:b/>
                <w:sz w:val="20"/>
                <w:szCs w:val="20"/>
                <w:lang w:val="en-US"/>
              </w:rPr>
              <w:t>Yes</w:t>
            </w:r>
          </w:p>
        </w:tc>
        <w:tc>
          <w:tcPr>
            <w:tcW w:w="1452" w:type="dxa"/>
          </w:tcPr>
          <w:p w14:paraId="00000038" w14:textId="77777777" w:rsidR="00985B1F" w:rsidRPr="00F2449F" w:rsidRDefault="00717D17" w:rsidP="007B62B8">
            <w:pPr>
              <w:jc w:val="both"/>
              <w:rPr>
                <w:b/>
                <w:sz w:val="20"/>
                <w:szCs w:val="20"/>
                <w:lang w:val="en-US"/>
              </w:rPr>
            </w:pPr>
            <w:r w:rsidRPr="00F2449F">
              <w:rPr>
                <w:b/>
                <w:sz w:val="20"/>
                <w:szCs w:val="20"/>
                <w:lang w:val="en-US"/>
              </w:rPr>
              <w:t>No</w:t>
            </w:r>
          </w:p>
        </w:tc>
        <w:tc>
          <w:tcPr>
            <w:tcW w:w="1452" w:type="dxa"/>
          </w:tcPr>
          <w:p w14:paraId="00000039" w14:textId="77777777" w:rsidR="00985B1F" w:rsidRPr="00F2449F" w:rsidRDefault="00717D17" w:rsidP="007B62B8">
            <w:pPr>
              <w:jc w:val="both"/>
              <w:rPr>
                <w:b/>
                <w:sz w:val="20"/>
                <w:szCs w:val="20"/>
                <w:lang w:val="en-US"/>
              </w:rPr>
            </w:pPr>
            <w:r w:rsidRPr="00F2449F">
              <w:rPr>
                <w:b/>
                <w:sz w:val="20"/>
                <w:szCs w:val="20"/>
                <w:lang w:val="en-US"/>
              </w:rPr>
              <w:t>No</w:t>
            </w:r>
          </w:p>
        </w:tc>
      </w:tr>
      <w:tr w:rsidR="00985B1F" w:rsidRPr="00F2449F" w14:paraId="123BB941" w14:textId="77777777" w:rsidTr="007B62B8">
        <w:trPr>
          <w:trHeight w:val="1198"/>
        </w:trPr>
        <w:tc>
          <w:tcPr>
            <w:tcW w:w="1023" w:type="dxa"/>
          </w:tcPr>
          <w:p w14:paraId="0000003A" w14:textId="77777777" w:rsidR="00985B1F" w:rsidRPr="00F2449F" w:rsidRDefault="00717D17" w:rsidP="007B62B8">
            <w:pPr>
              <w:pBdr>
                <w:top w:val="nil"/>
                <w:left w:val="nil"/>
                <w:bottom w:val="nil"/>
                <w:right w:val="nil"/>
                <w:between w:val="nil"/>
              </w:pBdr>
              <w:rPr>
                <w:color w:val="000000"/>
                <w:sz w:val="20"/>
                <w:szCs w:val="20"/>
                <w:lang w:val="en-US"/>
              </w:rPr>
            </w:pPr>
            <w:r w:rsidRPr="00F2449F">
              <w:rPr>
                <w:color w:val="000000"/>
                <w:sz w:val="20"/>
                <w:szCs w:val="20"/>
                <w:lang w:val="en-US"/>
              </w:rPr>
              <w:t>Brennan &amp; Turnbull (1999)</w:t>
            </w:r>
          </w:p>
        </w:tc>
        <w:tc>
          <w:tcPr>
            <w:tcW w:w="2378" w:type="dxa"/>
          </w:tcPr>
          <w:p w14:paraId="0000003B" w14:textId="77777777" w:rsidR="00985B1F" w:rsidRPr="00F2449F" w:rsidRDefault="00717D17" w:rsidP="007B62B8">
            <w:pPr>
              <w:pBdr>
                <w:top w:val="nil"/>
                <w:left w:val="nil"/>
                <w:bottom w:val="nil"/>
                <w:right w:val="nil"/>
                <w:between w:val="nil"/>
              </w:pBdr>
              <w:rPr>
                <w:color w:val="000000"/>
                <w:sz w:val="20"/>
                <w:szCs w:val="20"/>
                <w:lang w:val="en-US"/>
              </w:rPr>
            </w:pPr>
            <w:r w:rsidRPr="00F2449F">
              <w:rPr>
                <w:color w:val="000000"/>
                <w:sz w:val="20"/>
                <w:szCs w:val="20"/>
                <w:lang w:val="en-US"/>
              </w:rPr>
              <w:t>Multi-level behavioral modifications with the goal of ensuring the success of inter-organizational relationships.</w:t>
            </w:r>
          </w:p>
        </w:tc>
        <w:tc>
          <w:tcPr>
            <w:tcW w:w="1452" w:type="dxa"/>
          </w:tcPr>
          <w:p w14:paraId="0000003C" w14:textId="77777777" w:rsidR="00985B1F" w:rsidRPr="00F2449F" w:rsidRDefault="00717D17" w:rsidP="007B62B8">
            <w:pPr>
              <w:jc w:val="both"/>
              <w:rPr>
                <w:b/>
                <w:sz w:val="20"/>
                <w:szCs w:val="20"/>
                <w:lang w:val="en-US"/>
              </w:rPr>
            </w:pPr>
            <w:r w:rsidRPr="00F2449F">
              <w:rPr>
                <w:b/>
                <w:sz w:val="20"/>
                <w:szCs w:val="20"/>
                <w:lang w:val="en-US"/>
              </w:rPr>
              <w:t>Yes</w:t>
            </w:r>
          </w:p>
        </w:tc>
        <w:tc>
          <w:tcPr>
            <w:tcW w:w="1452" w:type="dxa"/>
          </w:tcPr>
          <w:p w14:paraId="0000003D" w14:textId="77777777" w:rsidR="00985B1F" w:rsidRPr="00F2449F" w:rsidRDefault="00717D17" w:rsidP="007B62B8">
            <w:pPr>
              <w:jc w:val="both"/>
              <w:rPr>
                <w:b/>
                <w:sz w:val="20"/>
                <w:szCs w:val="20"/>
                <w:lang w:val="en-US"/>
              </w:rPr>
            </w:pPr>
            <w:r w:rsidRPr="00F2449F">
              <w:rPr>
                <w:b/>
                <w:sz w:val="20"/>
                <w:szCs w:val="20"/>
                <w:lang w:val="en-US"/>
              </w:rPr>
              <w:t>No</w:t>
            </w:r>
          </w:p>
        </w:tc>
        <w:tc>
          <w:tcPr>
            <w:tcW w:w="1452" w:type="dxa"/>
          </w:tcPr>
          <w:p w14:paraId="0000003E" w14:textId="77777777" w:rsidR="00985B1F" w:rsidRPr="00F2449F" w:rsidRDefault="00717D17" w:rsidP="007B62B8">
            <w:pPr>
              <w:jc w:val="both"/>
              <w:rPr>
                <w:b/>
                <w:sz w:val="20"/>
                <w:szCs w:val="20"/>
                <w:lang w:val="en-US"/>
              </w:rPr>
            </w:pPr>
            <w:r w:rsidRPr="00F2449F">
              <w:rPr>
                <w:b/>
                <w:sz w:val="20"/>
                <w:szCs w:val="20"/>
                <w:lang w:val="en-US"/>
              </w:rPr>
              <w:t>No</w:t>
            </w:r>
          </w:p>
        </w:tc>
        <w:tc>
          <w:tcPr>
            <w:tcW w:w="1452" w:type="dxa"/>
          </w:tcPr>
          <w:p w14:paraId="0000003F" w14:textId="77777777" w:rsidR="00985B1F" w:rsidRPr="00F2449F" w:rsidRDefault="00717D17" w:rsidP="007B62B8">
            <w:pPr>
              <w:jc w:val="both"/>
              <w:rPr>
                <w:b/>
                <w:sz w:val="20"/>
                <w:szCs w:val="20"/>
                <w:lang w:val="en-US"/>
              </w:rPr>
            </w:pPr>
            <w:r w:rsidRPr="00F2449F">
              <w:rPr>
                <w:b/>
                <w:sz w:val="20"/>
                <w:szCs w:val="20"/>
                <w:lang w:val="en-US"/>
              </w:rPr>
              <w:t>No</w:t>
            </w:r>
          </w:p>
        </w:tc>
      </w:tr>
      <w:tr w:rsidR="00985B1F" w:rsidRPr="00F2449F" w14:paraId="183EA258" w14:textId="77777777" w:rsidTr="007B62B8">
        <w:trPr>
          <w:trHeight w:val="1198"/>
        </w:trPr>
        <w:tc>
          <w:tcPr>
            <w:tcW w:w="1023" w:type="dxa"/>
          </w:tcPr>
          <w:p w14:paraId="00000040" w14:textId="77777777" w:rsidR="00985B1F" w:rsidRPr="00F2449F" w:rsidRDefault="00717D17" w:rsidP="007B62B8">
            <w:pPr>
              <w:pBdr>
                <w:top w:val="nil"/>
                <w:left w:val="nil"/>
                <w:bottom w:val="nil"/>
                <w:right w:val="nil"/>
                <w:between w:val="nil"/>
              </w:pBdr>
              <w:rPr>
                <w:color w:val="000000"/>
                <w:sz w:val="20"/>
                <w:szCs w:val="20"/>
                <w:lang w:val="en-US"/>
              </w:rPr>
            </w:pPr>
            <w:r w:rsidRPr="00F2449F">
              <w:rPr>
                <w:color w:val="000000"/>
                <w:sz w:val="20"/>
                <w:szCs w:val="20"/>
                <w:lang w:val="en-US"/>
              </w:rPr>
              <w:t>Vargo &amp; Lusch (2004, 2008)</w:t>
            </w:r>
          </w:p>
        </w:tc>
        <w:tc>
          <w:tcPr>
            <w:tcW w:w="2378" w:type="dxa"/>
          </w:tcPr>
          <w:p w14:paraId="00000041" w14:textId="77777777" w:rsidR="00985B1F" w:rsidRPr="00F2449F" w:rsidRDefault="00717D17" w:rsidP="007B62B8">
            <w:pPr>
              <w:pBdr>
                <w:top w:val="nil"/>
                <w:left w:val="nil"/>
                <w:bottom w:val="nil"/>
                <w:right w:val="nil"/>
                <w:between w:val="nil"/>
              </w:pBdr>
              <w:rPr>
                <w:color w:val="000000"/>
                <w:sz w:val="20"/>
                <w:szCs w:val="20"/>
                <w:lang w:val="en-US"/>
              </w:rPr>
            </w:pPr>
            <w:r w:rsidRPr="00F2449F">
              <w:rPr>
                <w:color w:val="000000"/>
                <w:sz w:val="20"/>
                <w:szCs w:val="20"/>
                <w:lang w:val="en-US"/>
              </w:rPr>
              <w:t xml:space="preserve">The process of reciprocal change in a relationship to support value creation and readiness within a system. </w:t>
            </w:r>
          </w:p>
        </w:tc>
        <w:tc>
          <w:tcPr>
            <w:tcW w:w="1452" w:type="dxa"/>
          </w:tcPr>
          <w:p w14:paraId="00000042" w14:textId="77777777" w:rsidR="00985B1F" w:rsidRPr="00F2449F" w:rsidRDefault="00717D17" w:rsidP="007B62B8">
            <w:pPr>
              <w:rPr>
                <w:b/>
                <w:sz w:val="20"/>
                <w:szCs w:val="20"/>
                <w:lang w:val="en-US"/>
              </w:rPr>
            </w:pPr>
            <w:r w:rsidRPr="00F2449F">
              <w:rPr>
                <w:b/>
                <w:sz w:val="20"/>
                <w:szCs w:val="20"/>
                <w:lang w:val="en-US"/>
              </w:rPr>
              <w:t>Yes</w:t>
            </w:r>
          </w:p>
        </w:tc>
        <w:tc>
          <w:tcPr>
            <w:tcW w:w="1452" w:type="dxa"/>
          </w:tcPr>
          <w:p w14:paraId="00000043" w14:textId="77777777" w:rsidR="00985B1F" w:rsidRPr="00F2449F" w:rsidRDefault="00717D17" w:rsidP="007B62B8">
            <w:pPr>
              <w:rPr>
                <w:b/>
                <w:sz w:val="20"/>
                <w:szCs w:val="20"/>
                <w:lang w:val="en-US"/>
              </w:rPr>
            </w:pPr>
            <w:r w:rsidRPr="00F2449F">
              <w:rPr>
                <w:b/>
                <w:sz w:val="20"/>
                <w:szCs w:val="20"/>
                <w:lang w:val="en-US"/>
              </w:rPr>
              <w:t>No</w:t>
            </w:r>
          </w:p>
        </w:tc>
        <w:tc>
          <w:tcPr>
            <w:tcW w:w="1452" w:type="dxa"/>
          </w:tcPr>
          <w:p w14:paraId="00000044" w14:textId="77777777" w:rsidR="00985B1F" w:rsidRPr="00F2449F" w:rsidRDefault="00717D17" w:rsidP="007B62B8">
            <w:pPr>
              <w:rPr>
                <w:b/>
                <w:sz w:val="20"/>
                <w:szCs w:val="20"/>
                <w:lang w:val="en-US"/>
              </w:rPr>
            </w:pPr>
            <w:r w:rsidRPr="00F2449F">
              <w:rPr>
                <w:b/>
                <w:sz w:val="20"/>
                <w:szCs w:val="20"/>
                <w:lang w:val="en-US"/>
              </w:rPr>
              <w:t>Yes</w:t>
            </w:r>
          </w:p>
        </w:tc>
        <w:tc>
          <w:tcPr>
            <w:tcW w:w="1452" w:type="dxa"/>
          </w:tcPr>
          <w:p w14:paraId="00000045" w14:textId="77777777" w:rsidR="00985B1F" w:rsidRPr="00F2449F" w:rsidRDefault="00717D17" w:rsidP="007B62B8">
            <w:pPr>
              <w:rPr>
                <w:b/>
                <w:sz w:val="20"/>
                <w:szCs w:val="20"/>
                <w:lang w:val="en-US"/>
              </w:rPr>
            </w:pPr>
            <w:r w:rsidRPr="00F2449F">
              <w:rPr>
                <w:b/>
                <w:sz w:val="20"/>
                <w:szCs w:val="20"/>
                <w:lang w:val="en-US"/>
              </w:rPr>
              <w:t>No</w:t>
            </w:r>
          </w:p>
        </w:tc>
      </w:tr>
      <w:tr w:rsidR="00985B1F" w:rsidRPr="00F2449F" w14:paraId="35E6D87F" w14:textId="77777777" w:rsidTr="007B62B8">
        <w:trPr>
          <w:trHeight w:val="1198"/>
        </w:trPr>
        <w:tc>
          <w:tcPr>
            <w:tcW w:w="1023" w:type="dxa"/>
          </w:tcPr>
          <w:p w14:paraId="00000046" w14:textId="77777777" w:rsidR="00985B1F" w:rsidRPr="00F2449F" w:rsidRDefault="00717D17" w:rsidP="007B62B8">
            <w:pPr>
              <w:pBdr>
                <w:top w:val="nil"/>
                <w:left w:val="nil"/>
                <w:bottom w:val="nil"/>
                <w:right w:val="nil"/>
                <w:between w:val="nil"/>
              </w:pBdr>
              <w:rPr>
                <w:color w:val="000000"/>
                <w:sz w:val="20"/>
                <w:szCs w:val="20"/>
                <w:lang w:val="en-US"/>
              </w:rPr>
            </w:pPr>
            <w:r w:rsidRPr="00F2449F">
              <w:rPr>
                <w:color w:val="000000"/>
                <w:sz w:val="20"/>
                <w:szCs w:val="20"/>
                <w:lang w:val="en-US"/>
              </w:rPr>
              <w:t>Gulati, Lawrence</w:t>
            </w:r>
            <w:r w:rsidRPr="00F2449F">
              <w:rPr>
                <w:color w:val="000000"/>
                <w:sz w:val="33"/>
                <w:szCs w:val="33"/>
                <w:vertAlign w:val="superscript"/>
                <w:lang w:val="en-US"/>
              </w:rPr>
              <w:t xml:space="preserve"> </w:t>
            </w:r>
            <w:r w:rsidRPr="00F2449F">
              <w:rPr>
                <w:color w:val="000000"/>
                <w:sz w:val="20"/>
                <w:szCs w:val="20"/>
                <w:lang w:val="en-US"/>
              </w:rPr>
              <w:t>and Puranam (2005)</w:t>
            </w:r>
          </w:p>
        </w:tc>
        <w:tc>
          <w:tcPr>
            <w:tcW w:w="2378" w:type="dxa"/>
          </w:tcPr>
          <w:p w14:paraId="00000047" w14:textId="77777777" w:rsidR="00985B1F" w:rsidRPr="00F2449F" w:rsidRDefault="00717D17" w:rsidP="007B62B8">
            <w:pPr>
              <w:pBdr>
                <w:top w:val="nil"/>
                <w:left w:val="nil"/>
                <w:bottom w:val="nil"/>
                <w:right w:val="nil"/>
                <w:between w:val="nil"/>
              </w:pBdr>
              <w:rPr>
                <w:color w:val="000000"/>
                <w:sz w:val="20"/>
                <w:szCs w:val="20"/>
                <w:highlight w:val="yellow"/>
                <w:lang w:val="en-US"/>
              </w:rPr>
            </w:pPr>
            <w:r w:rsidRPr="00F2449F">
              <w:rPr>
                <w:color w:val="000000"/>
                <w:sz w:val="20"/>
                <w:szCs w:val="20"/>
                <w:lang w:val="en-US"/>
              </w:rPr>
              <w:t>A response to change and uncertainty that requires coordination and cooperation between different organizations.</w:t>
            </w:r>
          </w:p>
        </w:tc>
        <w:tc>
          <w:tcPr>
            <w:tcW w:w="1452" w:type="dxa"/>
          </w:tcPr>
          <w:p w14:paraId="00000048" w14:textId="77777777" w:rsidR="00985B1F" w:rsidRPr="00F2449F" w:rsidRDefault="00717D17" w:rsidP="007B62B8">
            <w:pPr>
              <w:rPr>
                <w:b/>
                <w:sz w:val="20"/>
                <w:szCs w:val="20"/>
                <w:highlight w:val="yellow"/>
                <w:lang w:val="en-US"/>
              </w:rPr>
            </w:pPr>
            <w:r w:rsidRPr="00F2449F">
              <w:rPr>
                <w:b/>
                <w:sz w:val="20"/>
                <w:szCs w:val="20"/>
                <w:lang w:val="en-US"/>
              </w:rPr>
              <w:t>Yes</w:t>
            </w:r>
          </w:p>
        </w:tc>
        <w:tc>
          <w:tcPr>
            <w:tcW w:w="1452" w:type="dxa"/>
          </w:tcPr>
          <w:p w14:paraId="00000049" w14:textId="77777777" w:rsidR="00985B1F" w:rsidRPr="00F2449F" w:rsidRDefault="00717D17" w:rsidP="007B62B8">
            <w:pPr>
              <w:rPr>
                <w:b/>
                <w:sz w:val="20"/>
                <w:szCs w:val="20"/>
                <w:highlight w:val="yellow"/>
                <w:lang w:val="en-US"/>
              </w:rPr>
            </w:pPr>
            <w:r w:rsidRPr="00F2449F">
              <w:rPr>
                <w:b/>
                <w:sz w:val="20"/>
                <w:szCs w:val="20"/>
                <w:lang w:val="en-US"/>
              </w:rPr>
              <w:t>No</w:t>
            </w:r>
          </w:p>
        </w:tc>
        <w:tc>
          <w:tcPr>
            <w:tcW w:w="1452" w:type="dxa"/>
          </w:tcPr>
          <w:p w14:paraId="0000004A" w14:textId="77777777" w:rsidR="00985B1F" w:rsidRPr="00F2449F" w:rsidRDefault="00717D17" w:rsidP="007B62B8">
            <w:pPr>
              <w:rPr>
                <w:b/>
                <w:sz w:val="20"/>
                <w:szCs w:val="20"/>
                <w:highlight w:val="yellow"/>
                <w:lang w:val="en-US"/>
              </w:rPr>
            </w:pPr>
            <w:r w:rsidRPr="00F2449F">
              <w:rPr>
                <w:b/>
                <w:sz w:val="20"/>
                <w:szCs w:val="20"/>
                <w:lang w:val="en-US"/>
              </w:rPr>
              <w:t>Yes</w:t>
            </w:r>
          </w:p>
        </w:tc>
        <w:tc>
          <w:tcPr>
            <w:tcW w:w="1452" w:type="dxa"/>
          </w:tcPr>
          <w:p w14:paraId="0000004B" w14:textId="77777777" w:rsidR="00985B1F" w:rsidRPr="00F2449F" w:rsidRDefault="00717D17" w:rsidP="007B62B8">
            <w:pPr>
              <w:rPr>
                <w:b/>
                <w:sz w:val="20"/>
                <w:szCs w:val="20"/>
                <w:lang w:val="en-US"/>
              </w:rPr>
            </w:pPr>
            <w:r w:rsidRPr="00F2449F">
              <w:rPr>
                <w:b/>
                <w:sz w:val="20"/>
                <w:szCs w:val="20"/>
                <w:lang w:val="en-US"/>
              </w:rPr>
              <w:t>No</w:t>
            </w:r>
          </w:p>
        </w:tc>
      </w:tr>
      <w:tr w:rsidR="00985B1F" w:rsidRPr="00F2449F" w14:paraId="740C4165" w14:textId="77777777" w:rsidTr="007B62B8">
        <w:trPr>
          <w:trHeight w:val="645"/>
        </w:trPr>
        <w:tc>
          <w:tcPr>
            <w:tcW w:w="1023" w:type="dxa"/>
          </w:tcPr>
          <w:p w14:paraId="0000004C" w14:textId="77777777" w:rsidR="00985B1F" w:rsidRPr="00F2449F" w:rsidRDefault="00717D17" w:rsidP="007B62B8">
            <w:pPr>
              <w:rPr>
                <w:sz w:val="20"/>
                <w:szCs w:val="20"/>
                <w:lang w:val="en-US"/>
              </w:rPr>
            </w:pPr>
            <w:r w:rsidRPr="00F2449F">
              <w:rPr>
                <w:sz w:val="20"/>
                <w:szCs w:val="20"/>
                <w:lang w:val="en-US"/>
              </w:rPr>
              <w:t>Sheppard (2011)</w:t>
            </w:r>
          </w:p>
        </w:tc>
        <w:tc>
          <w:tcPr>
            <w:tcW w:w="2378" w:type="dxa"/>
          </w:tcPr>
          <w:p w14:paraId="0000004D" w14:textId="77777777" w:rsidR="00985B1F" w:rsidRPr="00F2449F" w:rsidRDefault="00717D17" w:rsidP="007B62B8">
            <w:pPr>
              <w:rPr>
                <w:sz w:val="20"/>
                <w:szCs w:val="20"/>
                <w:lang w:val="en-US"/>
              </w:rPr>
            </w:pPr>
            <w:r w:rsidRPr="00F2449F">
              <w:rPr>
                <w:sz w:val="20"/>
                <w:szCs w:val="20"/>
                <w:lang w:val="en-US"/>
              </w:rPr>
              <w:t>The result of organizational preparedness to crises and disruptions and achieved through systematic communication activity.</w:t>
            </w:r>
          </w:p>
        </w:tc>
        <w:tc>
          <w:tcPr>
            <w:tcW w:w="1452" w:type="dxa"/>
          </w:tcPr>
          <w:p w14:paraId="0000004E" w14:textId="77777777" w:rsidR="00985B1F" w:rsidRPr="00F2449F" w:rsidRDefault="00717D17" w:rsidP="007B62B8">
            <w:pPr>
              <w:rPr>
                <w:b/>
                <w:sz w:val="20"/>
                <w:szCs w:val="20"/>
                <w:lang w:val="en-US"/>
              </w:rPr>
            </w:pPr>
            <w:r w:rsidRPr="00F2449F">
              <w:rPr>
                <w:b/>
                <w:sz w:val="20"/>
                <w:szCs w:val="20"/>
                <w:lang w:val="en-US"/>
              </w:rPr>
              <w:t>No</w:t>
            </w:r>
          </w:p>
        </w:tc>
        <w:tc>
          <w:tcPr>
            <w:tcW w:w="1452" w:type="dxa"/>
          </w:tcPr>
          <w:p w14:paraId="0000004F" w14:textId="77777777" w:rsidR="00985B1F" w:rsidRPr="00F2449F" w:rsidRDefault="00717D17" w:rsidP="007B62B8">
            <w:pPr>
              <w:rPr>
                <w:b/>
                <w:sz w:val="20"/>
                <w:szCs w:val="20"/>
                <w:lang w:val="en-US"/>
              </w:rPr>
            </w:pPr>
            <w:r w:rsidRPr="00F2449F">
              <w:rPr>
                <w:b/>
                <w:sz w:val="20"/>
                <w:szCs w:val="20"/>
                <w:lang w:val="en-US"/>
              </w:rPr>
              <w:t>Yes</w:t>
            </w:r>
          </w:p>
        </w:tc>
        <w:tc>
          <w:tcPr>
            <w:tcW w:w="1452" w:type="dxa"/>
          </w:tcPr>
          <w:p w14:paraId="00000050" w14:textId="77777777" w:rsidR="00985B1F" w:rsidRPr="00F2449F" w:rsidRDefault="00717D17" w:rsidP="007B62B8">
            <w:pPr>
              <w:rPr>
                <w:b/>
                <w:sz w:val="20"/>
                <w:szCs w:val="20"/>
                <w:lang w:val="en-US"/>
              </w:rPr>
            </w:pPr>
            <w:r w:rsidRPr="00F2449F">
              <w:rPr>
                <w:b/>
                <w:sz w:val="20"/>
                <w:szCs w:val="20"/>
                <w:lang w:val="en-US"/>
              </w:rPr>
              <w:t>No</w:t>
            </w:r>
          </w:p>
        </w:tc>
        <w:tc>
          <w:tcPr>
            <w:tcW w:w="1452" w:type="dxa"/>
          </w:tcPr>
          <w:p w14:paraId="00000051" w14:textId="77777777" w:rsidR="00985B1F" w:rsidRPr="00F2449F" w:rsidRDefault="00717D17" w:rsidP="007B62B8">
            <w:pPr>
              <w:rPr>
                <w:b/>
                <w:sz w:val="20"/>
                <w:szCs w:val="20"/>
                <w:lang w:val="en-US"/>
              </w:rPr>
            </w:pPr>
            <w:r w:rsidRPr="00F2449F">
              <w:rPr>
                <w:b/>
                <w:sz w:val="20"/>
                <w:szCs w:val="20"/>
                <w:lang w:val="en-US"/>
              </w:rPr>
              <w:t>No</w:t>
            </w:r>
          </w:p>
        </w:tc>
      </w:tr>
      <w:tr w:rsidR="00985B1F" w:rsidRPr="00F2449F" w14:paraId="1535C7EA" w14:textId="77777777" w:rsidTr="007B62B8">
        <w:trPr>
          <w:trHeight w:val="645"/>
        </w:trPr>
        <w:tc>
          <w:tcPr>
            <w:tcW w:w="1023" w:type="dxa"/>
          </w:tcPr>
          <w:p w14:paraId="00000052" w14:textId="77777777" w:rsidR="00985B1F" w:rsidRPr="00F2449F" w:rsidRDefault="00717D17" w:rsidP="007B62B8">
            <w:pPr>
              <w:rPr>
                <w:sz w:val="20"/>
                <w:szCs w:val="20"/>
                <w:lang w:val="en-US"/>
              </w:rPr>
            </w:pPr>
            <w:r w:rsidRPr="00F2449F">
              <w:rPr>
                <w:sz w:val="20"/>
                <w:szCs w:val="20"/>
                <w:lang w:val="en-US"/>
              </w:rPr>
              <w:lastRenderedPageBreak/>
              <w:t>Guercini et al. (2014)</w:t>
            </w:r>
          </w:p>
        </w:tc>
        <w:tc>
          <w:tcPr>
            <w:tcW w:w="2378" w:type="dxa"/>
          </w:tcPr>
          <w:p w14:paraId="00000053" w14:textId="77777777" w:rsidR="00985B1F" w:rsidRPr="00F2449F" w:rsidRDefault="00717D17" w:rsidP="007B62B8">
            <w:pPr>
              <w:rPr>
                <w:sz w:val="20"/>
                <w:szCs w:val="20"/>
                <w:lang w:val="en-US"/>
              </w:rPr>
            </w:pPr>
            <w:r w:rsidRPr="00F2449F">
              <w:rPr>
                <w:sz w:val="20"/>
                <w:szCs w:val="20"/>
                <w:lang w:val="en-US"/>
              </w:rPr>
              <w:t>An outcome of business relationships, with cooperation as a goal.</w:t>
            </w:r>
          </w:p>
        </w:tc>
        <w:tc>
          <w:tcPr>
            <w:tcW w:w="1452" w:type="dxa"/>
          </w:tcPr>
          <w:p w14:paraId="00000054" w14:textId="77777777" w:rsidR="00985B1F" w:rsidRPr="00F2449F" w:rsidRDefault="00717D17" w:rsidP="007B62B8">
            <w:pPr>
              <w:rPr>
                <w:b/>
                <w:sz w:val="20"/>
                <w:szCs w:val="20"/>
                <w:lang w:val="en-US"/>
              </w:rPr>
            </w:pPr>
            <w:r w:rsidRPr="00F2449F">
              <w:rPr>
                <w:b/>
                <w:sz w:val="20"/>
                <w:szCs w:val="20"/>
                <w:lang w:val="en-US"/>
              </w:rPr>
              <w:t>Yes</w:t>
            </w:r>
          </w:p>
        </w:tc>
        <w:tc>
          <w:tcPr>
            <w:tcW w:w="1452" w:type="dxa"/>
          </w:tcPr>
          <w:p w14:paraId="00000055" w14:textId="77777777" w:rsidR="00985B1F" w:rsidRPr="00F2449F" w:rsidRDefault="00717D17" w:rsidP="007B62B8">
            <w:pPr>
              <w:rPr>
                <w:b/>
                <w:sz w:val="20"/>
                <w:szCs w:val="20"/>
                <w:lang w:val="en-US"/>
              </w:rPr>
            </w:pPr>
            <w:r w:rsidRPr="00F2449F">
              <w:rPr>
                <w:b/>
                <w:sz w:val="20"/>
                <w:szCs w:val="20"/>
                <w:lang w:val="en-US"/>
              </w:rPr>
              <w:t>No</w:t>
            </w:r>
          </w:p>
        </w:tc>
        <w:tc>
          <w:tcPr>
            <w:tcW w:w="1452" w:type="dxa"/>
          </w:tcPr>
          <w:p w14:paraId="00000056" w14:textId="77777777" w:rsidR="00985B1F" w:rsidRPr="00F2449F" w:rsidRDefault="00717D17" w:rsidP="007B62B8">
            <w:pPr>
              <w:rPr>
                <w:b/>
                <w:sz w:val="20"/>
                <w:szCs w:val="20"/>
                <w:lang w:val="en-US"/>
              </w:rPr>
            </w:pPr>
            <w:r w:rsidRPr="00F2449F">
              <w:rPr>
                <w:b/>
                <w:sz w:val="20"/>
                <w:szCs w:val="20"/>
                <w:lang w:val="en-US"/>
              </w:rPr>
              <w:t>No</w:t>
            </w:r>
          </w:p>
        </w:tc>
        <w:tc>
          <w:tcPr>
            <w:tcW w:w="1452" w:type="dxa"/>
          </w:tcPr>
          <w:p w14:paraId="00000057" w14:textId="77777777" w:rsidR="00985B1F" w:rsidRPr="00F2449F" w:rsidRDefault="00717D17" w:rsidP="007B62B8">
            <w:pPr>
              <w:rPr>
                <w:b/>
                <w:sz w:val="20"/>
                <w:szCs w:val="20"/>
                <w:lang w:val="en-US"/>
              </w:rPr>
            </w:pPr>
            <w:r w:rsidRPr="00F2449F">
              <w:rPr>
                <w:b/>
                <w:sz w:val="20"/>
                <w:szCs w:val="20"/>
                <w:lang w:val="en-US"/>
              </w:rPr>
              <w:t>No</w:t>
            </w:r>
          </w:p>
        </w:tc>
      </w:tr>
      <w:tr w:rsidR="00985B1F" w:rsidRPr="00F2449F" w14:paraId="4B43182D" w14:textId="77777777" w:rsidTr="007B62B8">
        <w:trPr>
          <w:trHeight w:val="645"/>
        </w:trPr>
        <w:tc>
          <w:tcPr>
            <w:tcW w:w="1023" w:type="dxa"/>
          </w:tcPr>
          <w:p w14:paraId="00000058" w14:textId="77777777" w:rsidR="00985B1F" w:rsidRPr="00F2449F" w:rsidRDefault="00717D17" w:rsidP="007B62B8">
            <w:pPr>
              <w:rPr>
                <w:sz w:val="20"/>
                <w:szCs w:val="20"/>
                <w:lang w:val="en-US"/>
              </w:rPr>
            </w:pPr>
            <w:r w:rsidRPr="00F2449F">
              <w:rPr>
                <w:sz w:val="20"/>
                <w:szCs w:val="20"/>
                <w:lang w:val="en-US"/>
              </w:rPr>
              <w:t>Singh, Kumar, Panchal &amp; Tiwari (2020)</w:t>
            </w:r>
          </w:p>
        </w:tc>
        <w:tc>
          <w:tcPr>
            <w:tcW w:w="2378" w:type="dxa"/>
          </w:tcPr>
          <w:p w14:paraId="00000059" w14:textId="77777777" w:rsidR="00985B1F" w:rsidRPr="00F2449F" w:rsidRDefault="00717D17" w:rsidP="007B62B8">
            <w:pPr>
              <w:rPr>
                <w:sz w:val="20"/>
                <w:szCs w:val="20"/>
                <w:lang w:val="en-US"/>
              </w:rPr>
            </w:pPr>
            <w:r w:rsidRPr="00F2449F">
              <w:rPr>
                <w:sz w:val="20"/>
                <w:szCs w:val="20"/>
                <w:lang w:val="en-US"/>
              </w:rPr>
              <w:t>A fundamental capability that organizations must have and leverage to deal with systemic uncertainty.</w:t>
            </w:r>
          </w:p>
        </w:tc>
        <w:tc>
          <w:tcPr>
            <w:tcW w:w="1452" w:type="dxa"/>
          </w:tcPr>
          <w:p w14:paraId="0000005A" w14:textId="77777777" w:rsidR="00985B1F" w:rsidRPr="00F2449F" w:rsidRDefault="00717D17" w:rsidP="007B62B8">
            <w:pPr>
              <w:rPr>
                <w:b/>
                <w:sz w:val="20"/>
                <w:szCs w:val="20"/>
                <w:lang w:val="en-US"/>
              </w:rPr>
            </w:pPr>
            <w:r w:rsidRPr="00F2449F">
              <w:rPr>
                <w:b/>
                <w:sz w:val="20"/>
                <w:szCs w:val="20"/>
                <w:lang w:val="en-US"/>
              </w:rPr>
              <w:t>No</w:t>
            </w:r>
          </w:p>
        </w:tc>
        <w:tc>
          <w:tcPr>
            <w:tcW w:w="1452" w:type="dxa"/>
          </w:tcPr>
          <w:p w14:paraId="0000005B" w14:textId="77777777" w:rsidR="00985B1F" w:rsidRPr="00F2449F" w:rsidRDefault="00717D17" w:rsidP="007B62B8">
            <w:pPr>
              <w:rPr>
                <w:b/>
                <w:sz w:val="20"/>
                <w:szCs w:val="20"/>
                <w:lang w:val="en-US"/>
              </w:rPr>
            </w:pPr>
            <w:r w:rsidRPr="00F2449F">
              <w:rPr>
                <w:b/>
                <w:sz w:val="20"/>
                <w:szCs w:val="20"/>
                <w:lang w:val="en-US"/>
              </w:rPr>
              <w:t>No</w:t>
            </w:r>
          </w:p>
        </w:tc>
        <w:tc>
          <w:tcPr>
            <w:tcW w:w="1452" w:type="dxa"/>
          </w:tcPr>
          <w:p w14:paraId="0000005C" w14:textId="77777777" w:rsidR="00985B1F" w:rsidRPr="00F2449F" w:rsidRDefault="00717D17" w:rsidP="007B62B8">
            <w:pPr>
              <w:rPr>
                <w:b/>
                <w:sz w:val="20"/>
                <w:szCs w:val="20"/>
                <w:lang w:val="en-US"/>
              </w:rPr>
            </w:pPr>
            <w:r w:rsidRPr="00F2449F">
              <w:rPr>
                <w:b/>
                <w:sz w:val="20"/>
                <w:szCs w:val="20"/>
                <w:lang w:val="en-US"/>
              </w:rPr>
              <w:t>Yes</w:t>
            </w:r>
          </w:p>
        </w:tc>
        <w:tc>
          <w:tcPr>
            <w:tcW w:w="1452" w:type="dxa"/>
          </w:tcPr>
          <w:p w14:paraId="0000005D" w14:textId="77777777" w:rsidR="00985B1F" w:rsidRPr="00F2449F" w:rsidRDefault="00717D17" w:rsidP="007B62B8">
            <w:pPr>
              <w:rPr>
                <w:b/>
                <w:sz w:val="20"/>
                <w:szCs w:val="20"/>
                <w:lang w:val="en-US"/>
              </w:rPr>
            </w:pPr>
            <w:r w:rsidRPr="00F2449F">
              <w:rPr>
                <w:b/>
                <w:sz w:val="20"/>
                <w:szCs w:val="20"/>
                <w:lang w:val="en-US"/>
              </w:rPr>
              <w:t>No</w:t>
            </w:r>
          </w:p>
        </w:tc>
      </w:tr>
      <w:tr w:rsidR="00985B1F" w:rsidRPr="00F2449F" w14:paraId="68034AB7" w14:textId="77777777" w:rsidTr="007B62B8">
        <w:trPr>
          <w:trHeight w:val="645"/>
        </w:trPr>
        <w:tc>
          <w:tcPr>
            <w:tcW w:w="1023" w:type="dxa"/>
          </w:tcPr>
          <w:p w14:paraId="0000005E" w14:textId="77777777" w:rsidR="00985B1F" w:rsidRPr="00F2449F" w:rsidRDefault="00717D17" w:rsidP="007B62B8">
            <w:pPr>
              <w:rPr>
                <w:sz w:val="20"/>
                <w:szCs w:val="20"/>
                <w:lang w:val="en-US"/>
              </w:rPr>
            </w:pPr>
            <w:r w:rsidRPr="00F2449F">
              <w:rPr>
                <w:sz w:val="20"/>
                <w:szCs w:val="20"/>
                <w:lang w:val="en-US"/>
              </w:rPr>
              <w:t>Purohit &amp; Mehta (2020)</w:t>
            </w:r>
          </w:p>
        </w:tc>
        <w:tc>
          <w:tcPr>
            <w:tcW w:w="2378" w:type="dxa"/>
          </w:tcPr>
          <w:p w14:paraId="0000005F" w14:textId="77777777" w:rsidR="00985B1F" w:rsidRPr="00F2449F" w:rsidRDefault="00717D17" w:rsidP="007B62B8">
            <w:pPr>
              <w:rPr>
                <w:sz w:val="20"/>
                <w:szCs w:val="20"/>
                <w:lang w:val="en-US"/>
              </w:rPr>
            </w:pPr>
            <w:r w:rsidRPr="00F2449F">
              <w:rPr>
                <w:sz w:val="20"/>
                <w:szCs w:val="20"/>
                <w:lang w:val="en-US"/>
              </w:rPr>
              <w:t>The result of having the organizational readiness to handle changing circumstances and uncertainty.</w:t>
            </w:r>
          </w:p>
        </w:tc>
        <w:tc>
          <w:tcPr>
            <w:tcW w:w="1452" w:type="dxa"/>
          </w:tcPr>
          <w:p w14:paraId="00000060" w14:textId="77777777" w:rsidR="00985B1F" w:rsidRPr="00F2449F" w:rsidRDefault="00717D17" w:rsidP="007B62B8">
            <w:pPr>
              <w:rPr>
                <w:b/>
                <w:sz w:val="20"/>
                <w:szCs w:val="20"/>
                <w:lang w:val="en-US"/>
              </w:rPr>
            </w:pPr>
            <w:r w:rsidRPr="00F2449F">
              <w:rPr>
                <w:b/>
                <w:sz w:val="20"/>
                <w:szCs w:val="20"/>
                <w:lang w:val="en-US"/>
              </w:rPr>
              <w:t>No</w:t>
            </w:r>
          </w:p>
        </w:tc>
        <w:tc>
          <w:tcPr>
            <w:tcW w:w="1452" w:type="dxa"/>
          </w:tcPr>
          <w:p w14:paraId="00000061" w14:textId="77777777" w:rsidR="00985B1F" w:rsidRPr="00F2449F" w:rsidRDefault="00717D17" w:rsidP="007B62B8">
            <w:pPr>
              <w:rPr>
                <w:b/>
                <w:sz w:val="20"/>
                <w:szCs w:val="20"/>
                <w:lang w:val="en-US"/>
              </w:rPr>
            </w:pPr>
            <w:r w:rsidRPr="00F2449F">
              <w:rPr>
                <w:b/>
                <w:sz w:val="20"/>
                <w:szCs w:val="20"/>
                <w:lang w:val="en-US"/>
              </w:rPr>
              <w:t>No</w:t>
            </w:r>
          </w:p>
        </w:tc>
        <w:tc>
          <w:tcPr>
            <w:tcW w:w="1452" w:type="dxa"/>
          </w:tcPr>
          <w:p w14:paraId="00000062" w14:textId="77777777" w:rsidR="00985B1F" w:rsidRPr="00F2449F" w:rsidRDefault="00717D17" w:rsidP="007B62B8">
            <w:pPr>
              <w:rPr>
                <w:b/>
                <w:sz w:val="20"/>
                <w:szCs w:val="20"/>
                <w:lang w:val="en-US"/>
              </w:rPr>
            </w:pPr>
            <w:r w:rsidRPr="00F2449F">
              <w:rPr>
                <w:b/>
                <w:sz w:val="20"/>
                <w:szCs w:val="20"/>
                <w:lang w:val="en-US"/>
              </w:rPr>
              <w:t>Yes</w:t>
            </w:r>
          </w:p>
        </w:tc>
        <w:tc>
          <w:tcPr>
            <w:tcW w:w="1452" w:type="dxa"/>
          </w:tcPr>
          <w:p w14:paraId="00000063" w14:textId="77777777" w:rsidR="00985B1F" w:rsidRPr="00F2449F" w:rsidRDefault="00717D17" w:rsidP="007B62B8">
            <w:pPr>
              <w:rPr>
                <w:b/>
                <w:sz w:val="20"/>
                <w:szCs w:val="20"/>
                <w:lang w:val="en-US"/>
              </w:rPr>
            </w:pPr>
            <w:r w:rsidRPr="00F2449F">
              <w:rPr>
                <w:b/>
                <w:sz w:val="20"/>
                <w:szCs w:val="20"/>
                <w:lang w:val="en-US"/>
              </w:rPr>
              <w:t>No</w:t>
            </w:r>
          </w:p>
        </w:tc>
      </w:tr>
      <w:tr w:rsidR="00985B1F" w:rsidRPr="00F2449F" w14:paraId="61563C8C" w14:textId="77777777" w:rsidTr="007B62B8">
        <w:trPr>
          <w:trHeight w:val="645"/>
        </w:trPr>
        <w:tc>
          <w:tcPr>
            <w:tcW w:w="1023" w:type="dxa"/>
          </w:tcPr>
          <w:p w14:paraId="00000064" w14:textId="77777777" w:rsidR="00985B1F" w:rsidRPr="00F2449F" w:rsidRDefault="00717D17" w:rsidP="007B62B8">
            <w:pPr>
              <w:rPr>
                <w:sz w:val="20"/>
                <w:szCs w:val="20"/>
                <w:lang w:val="en-US"/>
              </w:rPr>
            </w:pPr>
            <w:r w:rsidRPr="00F2449F">
              <w:rPr>
                <w:sz w:val="20"/>
                <w:szCs w:val="20"/>
                <w:lang w:val="en-US"/>
              </w:rPr>
              <w:t>Ritter &amp; Pedersen (2020)</w:t>
            </w:r>
          </w:p>
        </w:tc>
        <w:tc>
          <w:tcPr>
            <w:tcW w:w="2378" w:type="dxa"/>
          </w:tcPr>
          <w:p w14:paraId="00000065" w14:textId="77777777" w:rsidR="00985B1F" w:rsidRPr="00F2449F" w:rsidRDefault="00717D17" w:rsidP="007B62B8">
            <w:pPr>
              <w:rPr>
                <w:sz w:val="20"/>
                <w:szCs w:val="20"/>
                <w:lang w:val="en-US"/>
              </w:rPr>
            </w:pPr>
            <w:r w:rsidRPr="00F2449F">
              <w:rPr>
                <w:sz w:val="20"/>
                <w:szCs w:val="20"/>
                <w:lang w:val="en-US"/>
              </w:rPr>
              <w:t>A holistic process resulting in organizational improvement and acceleration of digital transformation across organizations.</w:t>
            </w:r>
          </w:p>
        </w:tc>
        <w:tc>
          <w:tcPr>
            <w:tcW w:w="1452" w:type="dxa"/>
          </w:tcPr>
          <w:p w14:paraId="00000066" w14:textId="77777777" w:rsidR="00985B1F" w:rsidRPr="00F2449F" w:rsidRDefault="00717D17" w:rsidP="007B62B8">
            <w:pPr>
              <w:rPr>
                <w:b/>
                <w:sz w:val="20"/>
                <w:szCs w:val="20"/>
                <w:lang w:val="en-US"/>
              </w:rPr>
            </w:pPr>
            <w:r w:rsidRPr="00F2449F">
              <w:rPr>
                <w:b/>
                <w:sz w:val="20"/>
                <w:szCs w:val="20"/>
                <w:lang w:val="en-US"/>
              </w:rPr>
              <w:t>No</w:t>
            </w:r>
          </w:p>
        </w:tc>
        <w:tc>
          <w:tcPr>
            <w:tcW w:w="1452" w:type="dxa"/>
          </w:tcPr>
          <w:p w14:paraId="00000067" w14:textId="77777777" w:rsidR="00985B1F" w:rsidRPr="00F2449F" w:rsidRDefault="00717D17" w:rsidP="007B62B8">
            <w:pPr>
              <w:rPr>
                <w:b/>
                <w:sz w:val="20"/>
                <w:szCs w:val="20"/>
                <w:lang w:val="en-US"/>
              </w:rPr>
            </w:pPr>
            <w:r w:rsidRPr="00F2449F">
              <w:rPr>
                <w:b/>
                <w:sz w:val="20"/>
                <w:szCs w:val="20"/>
                <w:lang w:val="en-US"/>
              </w:rPr>
              <w:t>No</w:t>
            </w:r>
          </w:p>
        </w:tc>
        <w:tc>
          <w:tcPr>
            <w:tcW w:w="1452" w:type="dxa"/>
          </w:tcPr>
          <w:p w14:paraId="00000068" w14:textId="77777777" w:rsidR="00985B1F" w:rsidRPr="00F2449F" w:rsidRDefault="00717D17" w:rsidP="007B62B8">
            <w:pPr>
              <w:rPr>
                <w:b/>
                <w:sz w:val="20"/>
                <w:szCs w:val="20"/>
                <w:lang w:val="en-US"/>
              </w:rPr>
            </w:pPr>
            <w:r w:rsidRPr="00F2449F">
              <w:rPr>
                <w:b/>
                <w:sz w:val="20"/>
                <w:szCs w:val="20"/>
                <w:lang w:val="en-US"/>
              </w:rPr>
              <w:t>Yes</w:t>
            </w:r>
          </w:p>
        </w:tc>
        <w:tc>
          <w:tcPr>
            <w:tcW w:w="1452" w:type="dxa"/>
          </w:tcPr>
          <w:p w14:paraId="00000069" w14:textId="77777777" w:rsidR="00985B1F" w:rsidRPr="00F2449F" w:rsidRDefault="00717D17" w:rsidP="007B62B8">
            <w:pPr>
              <w:rPr>
                <w:b/>
                <w:sz w:val="20"/>
                <w:szCs w:val="20"/>
                <w:lang w:val="en-US"/>
              </w:rPr>
            </w:pPr>
            <w:r w:rsidRPr="00F2449F">
              <w:rPr>
                <w:b/>
                <w:sz w:val="20"/>
                <w:szCs w:val="20"/>
                <w:lang w:val="en-US"/>
              </w:rPr>
              <w:t>Yes</w:t>
            </w:r>
          </w:p>
        </w:tc>
      </w:tr>
      <w:tr w:rsidR="00985B1F" w:rsidRPr="00F2449F" w14:paraId="445DC08B" w14:textId="77777777" w:rsidTr="007B62B8">
        <w:trPr>
          <w:trHeight w:val="645"/>
        </w:trPr>
        <w:tc>
          <w:tcPr>
            <w:tcW w:w="1023" w:type="dxa"/>
          </w:tcPr>
          <w:p w14:paraId="0000006A" w14:textId="77777777" w:rsidR="00985B1F" w:rsidRPr="00F2449F" w:rsidRDefault="00717D17" w:rsidP="007B62B8">
            <w:pPr>
              <w:rPr>
                <w:sz w:val="20"/>
                <w:szCs w:val="20"/>
                <w:lang w:val="en-US"/>
              </w:rPr>
            </w:pPr>
            <w:r w:rsidRPr="00F2449F">
              <w:rPr>
                <w:sz w:val="20"/>
                <w:szCs w:val="20"/>
                <w:lang w:val="en-US"/>
              </w:rPr>
              <w:t>Sarta, Durand &amp; Vergne, (2021)</w:t>
            </w:r>
          </w:p>
        </w:tc>
        <w:tc>
          <w:tcPr>
            <w:tcW w:w="2378" w:type="dxa"/>
          </w:tcPr>
          <w:p w14:paraId="0000006B" w14:textId="77777777" w:rsidR="00985B1F" w:rsidRPr="00F2449F" w:rsidRDefault="00717D17" w:rsidP="007B62B8">
            <w:pPr>
              <w:rPr>
                <w:sz w:val="20"/>
                <w:szCs w:val="20"/>
                <w:lang w:val="en-US"/>
              </w:rPr>
            </w:pPr>
            <w:r w:rsidRPr="00F2449F">
              <w:rPr>
                <w:sz w:val="20"/>
                <w:szCs w:val="20"/>
                <w:lang w:val="en-US"/>
              </w:rPr>
              <w:t>The intentional decision making undertaken by organizational members, leading to observable actions that aim to reduce the distance between an organization and its economic and institutional environments</w:t>
            </w:r>
          </w:p>
        </w:tc>
        <w:tc>
          <w:tcPr>
            <w:tcW w:w="1452" w:type="dxa"/>
          </w:tcPr>
          <w:p w14:paraId="0000006C" w14:textId="77777777" w:rsidR="00985B1F" w:rsidRPr="00F2449F" w:rsidRDefault="00717D17" w:rsidP="007B62B8">
            <w:pPr>
              <w:rPr>
                <w:b/>
                <w:sz w:val="20"/>
                <w:szCs w:val="20"/>
                <w:lang w:val="en-US"/>
              </w:rPr>
            </w:pPr>
            <w:r w:rsidRPr="00F2449F">
              <w:rPr>
                <w:b/>
                <w:sz w:val="20"/>
                <w:szCs w:val="20"/>
                <w:lang w:val="en-US"/>
              </w:rPr>
              <w:t>Yes</w:t>
            </w:r>
          </w:p>
        </w:tc>
        <w:tc>
          <w:tcPr>
            <w:tcW w:w="1452" w:type="dxa"/>
          </w:tcPr>
          <w:p w14:paraId="0000006D" w14:textId="77777777" w:rsidR="00985B1F" w:rsidRPr="00F2449F" w:rsidRDefault="00717D17" w:rsidP="007B62B8">
            <w:pPr>
              <w:rPr>
                <w:b/>
                <w:sz w:val="20"/>
                <w:szCs w:val="20"/>
                <w:lang w:val="en-US"/>
              </w:rPr>
            </w:pPr>
            <w:r w:rsidRPr="00F2449F">
              <w:rPr>
                <w:b/>
                <w:sz w:val="20"/>
                <w:szCs w:val="20"/>
                <w:lang w:val="en-US"/>
              </w:rPr>
              <w:t>Yes</w:t>
            </w:r>
          </w:p>
        </w:tc>
        <w:tc>
          <w:tcPr>
            <w:tcW w:w="1452" w:type="dxa"/>
          </w:tcPr>
          <w:p w14:paraId="0000006E" w14:textId="77777777" w:rsidR="00985B1F" w:rsidRPr="00F2449F" w:rsidRDefault="00717D17" w:rsidP="007B62B8">
            <w:pPr>
              <w:rPr>
                <w:b/>
                <w:sz w:val="20"/>
                <w:szCs w:val="20"/>
                <w:lang w:val="en-US"/>
              </w:rPr>
            </w:pPr>
            <w:r w:rsidRPr="00F2449F">
              <w:rPr>
                <w:b/>
                <w:sz w:val="20"/>
                <w:szCs w:val="20"/>
                <w:lang w:val="en-US"/>
              </w:rPr>
              <w:t>No</w:t>
            </w:r>
          </w:p>
        </w:tc>
        <w:tc>
          <w:tcPr>
            <w:tcW w:w="1452" w:type="dxa"/>
          </w:tcPr>
          <w:p w14:paraId="0000006F" w14:textId="77777777" w:rsidR="00985B1F" w:rsidRPr="00F2449F" w:rsidRDefault="00717D17" w:rsidP="007B62B8">
            <w:pPr>
              <w:rPr>
                <w:b/>
                <w:sz w:val="20"/>
                <w:szCs w:val="20"/>
                <w:lang w:val="en-US"/>
              </w:rPr>
            </w:pPr>
            <w:r w:rsidRPr="00F2449F">
              <w:rPr>
                <w:b/>
                <w:sz w:val="20"/>
                <w:szCs w:val="20"/>
                <w:lang w:val="en-US"/>
              </w:rPr>
              <w:t>No</w:t>
            </w:r>
          </w:p>
        </w:tc>
      </w:tr>
      <w:tr w:rsidR="00985B1F" w:rsidRPr="00F2449F" w14:paraId="5BB06DBC" w14:textId="77777777" w:rsidTr="007B62B8">
        <w:trPr>
          <w:trHeight w:val="645"/>
        </w:trPr>
        <w:tc>
          <w:tcPr>
            <w:tcW w:w="1023" w:type="dxa"/>
          </w:tcPr>
          <w:p w14:paraId="00000070" w14:textId="77777777" w:rsidR="00985B1F" w:rsidRPr="00F2449F" w:rsidRDefault="00717D17" w:rsidP="007B62B8">
            <w:pPr>
              <w:rPr>
                <w:sz w:val="20"/>
                <w:szCs w:val="20"/>
                <w:lang w:val="en-US"/>
              </w:rPr>
            </w:pPr>
            <w:r w:rsidRPr="00F2449F">
              <w:rPr>
                <w:b/>
                <w:sz w:val="20"/>
                <w:szCs w:val="20"/>
                <w:lang w:val="en-US"/>
              </w:rPr>
              <w:t>Our study</w:t>
            </w:r>
          </w:p>
        </w:tc>
        <w:tc>
          <w:tcPr>
            <w:tcW w:w="2378" w:type="dxa"/>
          </w:tcPr>
          <w:p w14:paraId="00000071" w14:textId="77777777" w:rsidR="00985B1F" w:rsidRPr="00F2449F" w:rsidRDefault="00717D17" w:rsidP="007B62B8">
            <w:pPr>
              <w:rPr>
                <w:sz w:val="20"/>
                <w:szCs w:val="20"/>
                <w:lang w:val="en-US"/>
              </w:rPr>
            </w:pPr>
            <w:r w:rsidRPr="00F2449F">
              <w:rPr>
                <w:b/>
                <w:sz w:val="20"/>
                <w:szCs w:val="20"/>
                <w:lang w:val="en-US"/>
              </w:rPr>
              <w:t>A company’s ability to gain advantage from uncertainty and risk by leveraging relationships, technology, and capabilities and go beyond given forecasts, handle resistance to negative events and crisis management</w:t>
            </w:r>
            <w:r w:rsidRPr="00F2449F">
              <w:rPr>
                <w:lang w:val="en-US"/>
              </w:rPr>
              <w:t>.</w:t>
            </w:r>
          </w:p>
        </w:tc>
        <w:tc>
          <w:tcPr>
            <w:tcW w:w="1452" w:type="dxa"/>
          </w:tcPr>
          <w:p w14:paraId="00000072" w14:textId="77777777" w:rsidR="00985B1F" w:rsidRPr="00F2449F" w:rsidRDefault="00717D17" w:rsidP="007B62B8">
            <w:pPr>
              <w:rPr>
                <w:b/>
                <w:sz w:val="20"/>
                <w:szCs w:val="20"/>
                <w:lang w:val="en-US"/>
              </w:rPr>
            </w:pPr>
            <w:r w:rsidRPr="00F2449F">
              <w:rPr>
                <w:b/>
                <w:sz w:val="20"/>
                <w:szCs w:val="20"/>
                <w:lang w:val="en-US"/>
              </w:rPr>
              <w:t>Yes</w:t>
            </w:r>
          </w:p>
        </w:tc>
        <w:tc>
          <w:tcPr>
            <w:tcW w:w="1452" w:type="dxa"/>
          </w:tcPr>
          <w:p w14:paraId="00000073" w14:textId="77777777" w:rsidR="00985B1F" w:rsidRPr="00F2449F" w:rsidRDefault="00717D17" w:rsidP="007B62B8">
            <w:pPr>
              <w:rPr>
                <w:b/>
                <w:sz w:val="20"/>
                <w:szCs w:val="20"/>
                <w:lang w:val="en-US"/>
              </w:rPr>
            </w:pPr>
            <w:r w:rsidRPr="00F2449F">
              <w:rPr>
                <w:b/>
                <w:sz w:val="20"/>
                <w:szCs w:val="20"/>
                <w:lang w:val="en-US"/>
              </w:rPr>
              <w:t>Yes</w:t>
            </w:r>
          </w:p>
        </w:tc>
        <w:tc>
          <w:tcPr>
            <w:tcW w:w="1452" w:type="dxa"/>
          </w:tcPr>
          <w:p w14:paraId="00000074" w14:textId="77777777" w:rsidR="00985B1F" w:rsidRPr="00F2449F" w:rsidRDefault="00717D17" w:rsidP="007B62B8">
            <w:pPr>
              <w:rPr>
                <w:b/>
                <w:sz w:val="20"/>
                <w:szCs w:val="20"/>
                <w:lang w:val="en-US"/>
              </w:rPr>
            </w:pPr>
            <w:r w:rsidRPr="00F2449F">
              <w:rPr>
                <w:b/>
                <w:sz w:val="20"/>
                <w:szCs w:val="20"/>
                <w:lang w:val="en-US"/>
              </w:rPr>
              <w:t>Yes</w:t>
            </w:r>
          </w:p>
        </w:tc>
        <w:tc>
          <w:tcPr>
            <w:tcW w:w="1452" w:type="dxa"/>
          </w:tcPr>
          <w:p w14:paraId="00000075" w14:textId="77777777" w:rsidR="00985B1F" w:rsidRPr="00F2449F" w:rsidRDefault="00717D17" w:rsidP="007B62B8">
            <w:pPr>
              <w:rPr>
                <w:b/>
                <w:sz w:val="20"/>
                <w:szCs w:val="20"/>
                <w:lang w:val="en-US"/>
              </w:rPr>
            </w:pPr>
            <w:r w:rsidRPr="00F2449F">
              <w:rPr>
                <w:b/>
                <w:sz w:val="20"/>
                <w:szCs w:val="20"/>
                <w:lang w:val="en-US"/>
              </w:rPr>
              <w:t>Yes</w:t>
            </w:r>
          </w:p>
        </w:tc>
      </w:tr>
    </w:tbl>
    <w:p w14:paraId="00000076" w14:textId="77777777" w:rsidR="00985B1F" w:rsidRPr="00F2449F" w:rsidRDefault="00985B1F" w:rsidP="007B62B8">
      <w:pPr>
        <w:pBdr>
          <w:top w:val="nil"/>
          <w:left w:val="nil"/>
          <w:bottom w:val="nil"/>
          <w:right w:val="nil"/>
          <w:between w:val="nil"/>
        </w:pBdr>
        <w:spacing w:line="480" w:lineRule="auto"/>
        <w:jc w:val="both"/>
        <w:rPr>
          <w:color w:val="000000"/>
          <w:lang w:val="en-US"/>
        </w:rPr>
      </w:pPr>
    </w:p>
    <w:p w14:paraId="00000077" w14:textId="77777777" w:rsidR="00985B1F" w:rsidRPr="00F2449F" w:rsidRDefault="00717D17" w:rsidP="007B62B8">
      <w:pPr>
        <w:pBdr>
          <w:top w:val="nil"/>
          <w:left w:val="nil"/>
          <w:bottom w:val="nil"/>
          <w:right w:val="nil"/>
          <w:between w:val="nil"/>
        </w:pBdr>
        <w:spacing w:line="480" w:lineRule="auto"/>
        <w:jc w:val="both"/>
        <w:rPr>
          <w:b/>
          <w:color w:val="000000"/>
          <w:lang w:val="en-US"/>
        </w:rPr>
      </w:pPr>
      <w:r w:rsidRPr="00F2449F">
        <w:rPr>
          <w:b/>
          <w:color w:val="000000"/>
          <w:lang w:val="en-US"/>
        </w:rPr>
        <w:t>2.2. Antifragility as a framework to navigate endemic uncertainty through adaptation</w:t>
      </w:r>
    </w:p>
    <w:p w14:paraId="00000078" w14:textId="77777777"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 xml:space="preserve">In the contemporary environment characterized by endemic uncertainty, the imperative of adaptation is a prominent challenge, prompting researchers to explore effective strategies for mitigating the adverse effects of uncertainty and potential disruptions (Joshi &amp; Campbell, 2003). Over time, the concept of adaptation has evolved, encompassing various dimensions and allowing organizations to continually grapple with uncertainty (Vargo &amp; Lusch, 2004, 2008; Gulati, Lawrence &amp; Puranam, 2005; Purohit &amp; Mehta, 2020; Ritter &amp; Pedersen, 2020). However, a relatively less-explored perspective considers adaptation as an opportunity for organizations to not only withstand </w:t>
      </w:r>
      <w:r w:rsidRPr="00F2449F">
        <w:rPr>
          <w:color w:val="000000"/>
          <w:lang w:val="en-US"/>
        </w:rPr>
        <w:lastRenderedPageBreak/>
        <w:t xml:space="preserve">uncertainty, shocks, and crises, but also to improve and prosper in the face of them (Ritter &amp; Pedersen, 2020). </w:t>
      </w:r>
    </w:p>
    <w:p w14:paraId="00000079" w14:textId="7DD889F3"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 xml:space="preserve">This perspective gains significance as crises are no longer isolated </w:t>
      </w:r>
      <w:r w:rsidR="00E047EC" w:rsidRPr="00F2449F">
        <w:rPr>
          <w:color w:val="000000"/>
          <w:lang w:val="en-US"/>
        </w:rPr>
        <w:t>events but</w:t>
      </w:r>
      <w:r w:rsidRPr="00F2449F">
        <w:rPr>
          <w:color w:val="000000"/>
          <w:lang w:val="en-US"/>
        </w:rPr>
        <w:t xml:space="preserve"> </w:t>
      </w:r>
      <w:r w:rsidR="00E047EC" w:rsidRPr="00F2449F">
        <w:rPr>
          <w:color w:val="000000"/>
          <w:lang w:val="en-US"/>
        </w:rPr>
        <w:t xml:space="preserve">they have rather </w:t>
      </w:r>
      <w:r w:rsidRPr="00F2449F">
        <w:rPr>
          <w:color w:val="000000"/>
          <w:lang w:val="en-US"/>
        </w:rPr>
        <w:t>become a persistent feature of the contemporary business and social landscapes (Finn, Mysore &amp; Usher, 2020; Alalwan et al., 2021). Within this context, we apply the concept of antifragility (Taleb, 2001; Taleb</w:t>
      </w:r>
      <w:r w:rsidR="007D760F" w:rsidRPr="00F2449F">
        <w:rPr>
          <w:color w:val="000000"/>
          <w:lang w:val="en-US"/>
        </w:rPr>
        <w:t>,</w:t>
      </w:r>
      <w:r w:rsidRPr="00F2449F">
        <w:rPr>
          <w:color w:val="000000"/>
          <w:lang w:val="en-US"/>
        </w:rPr>
        <w:t xml:space="preserve"> 201</w:t>
      </w:r>
      <w:r w:rsidR="00E047EC" w:rsidRPr="00F2449F">
        <w:rPr>
          <w:color w:val="000000"/>
          <w:lang w:val="en-US"/>
        </w:rPr>
        <w:t>4</w:t>
      </w:r>
      <w:r w:rsidRPr="00F2449F">
        <w:rPr>
          <w:color w:val="000000"/>
          <w:lang w:val="en-US"/>
        </w:rPr>
        <w:t>) as a novel perspective through which navigating environments characterized by unpredictability and uncertainty. Antifragility refers to a property of systems and organizations that, like biological systems, are more than just robust and, within limits, can improve their resilience through being exposed to stress (Taleb, 2001). Specifically, Antifragile systems become stronger and more robust in the face of adversity. They don't just bounce back; they improve as a result of exposure to stressors while at the same time have the ability to adapt and adjust their behavior in response to changing conditions, thriving in dynamic environments (</w:t>
      </w:r>
      <w:sdt>
        <w:sdtPr>
          <w:rPr>
            <w:lang w:val="en-US"/>
          </w:rPr>
          <w:tag w:val="goog_rdk_3"/>
          <w:id w:val="886916494"/>
        </w:sdtPr>
        <w:sdtEndPr/>
        <w:sdtContent/>
      </w:sdt>
      <w:r w:rsidRPr="00F2449F">
        <w:rPr>
          <w:color w:val="000000"/>
          <w:lang w:val="en-US"/>
        </w:rPr>
        <w:t xml:space="preserve">Taleb, 2014; Ritter and Pedersen, 2020). Antifragile organizations typically employ redundancies, such as additional capacity or slack, or raise investment funds, that enable them to take advantage of periods of adversity. Such redundancies may also have a latent functionality in stable environments but will yet achieve manifest functionality and realize gains in adverse conditions (Munoz, Billsberry </w:t>
      </w:r>
      <w:r w:rsidR="00E047EC" w:rsidRPr="00F2449F">
        <w:rPr>
          <w:color w:val="000000"/>
          <w:lang w:val="en-US"/>
        </w:rPr>
        <w:t>&amp;</w:t>
      </w:r>
      <w:r w:rsidRPr="00F2449F">
        <w:rPr>
          <w:color w:val="000000"/>
          <w:lang w:val="en-US"/>
        </w:rPr>
        <w:t xml:space="preserve"> Ambrosini, 2022). These organizations also possess flexibilities that enable a reconfiguration of their capabilities and can align with opportunities that arise in adverse environments, thereby leading to performance gain (Cavanagh, 2017). Interestingly, this last stream is much less investigated, although there is an increased awareness that uncertainty appears to be an endemic characteristic of the contemporary business and social environments (Finn, Mysore &amp; Usher, 2020; </w:t>
      </w:r>
      <w:r w:rsidRPr="00F2449F">
        <w:rPr>
          <w:color w:val="000000"/>
          <w:highlight w:val="white"/>
          <w:lang w:val="en-US"/>
        </w:rPr>
        <w:t>Alalwan et al., 2021</w:t>
      </w:r>
      <w:r w:rsidRPr="00F2449F">
        <w:rPr>
          <w:color w:val="000000"/>
          <w:lang w:val="en-US"/>
        </w:rPr>
        <w:t>).</w:t>
      </w:r>
    </w:p>
    <w:p w14:paraId="0000007A" w14:textId="77777777"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 xml:space="preserve">The concept of antifragility can be seen as an evolution of the concept of resilience which focuses on an organization's ability to maintain performance in the face of challenges, encompassing preparation, resistance, recovery, and learning (Barasa, Mbau &amp; Gilson, 2018; Sheffi, 2017; Henry &amp; Ramirez-Marquez, 2017). While both resilience and antifragility address an organization's capacity to navigate adversity, they adopt distinct approaches. Resilience centers on the ability to withstand </w:t>
      </w:r>
      <w:r w:rsidRPr="00F2449F">
        <w:rPr>
          <w:color w:val="000000"/>
          <w:lang w:val="en-US"/>
        </w:rPr>
        <w:lastRenderedPageBreak/>
        <w:t>shocks and return to a state of equilibrium, emphasizing a 'bounce-back' mentality (Munoz, Billsberry and Ambrosini, 2022). Resilience encompasses the cultivation of competencies in four key dimensions, as elucidated by scholarly literature. The first dimension pertains to Preparation, which encompasses both financial and operational readiness to effectively address unforeseen disruptions (Sheffi, 2017). Following this, the second dimension revolves around Resistance, focusing on the immediate management of crises to swiftly transition the organization out of states of denial and complacency. This facet aims to mitigate negative consequences without delay (Henry &amp; Ramirez-Marquez, 2017). The subsequent dimension, Recovery, encompasses the organization's concerted efforts to restore its performance to pre-crisis levels. This phase involves activities such as damage reparation, improvisation, and resourceful adaptations to the situation (Henry &amp; Ramirez-Marquez, 2017). Finally, the fourth dimension of Learning involves the implementation of innovative solutions and their subsequent refinement. The overarching objective is to potentially surpass pre-crisis performance levels through the incorporation of new insights and adaptations (Henry &amp; Ramirez-Marquez, 2017).</w:t>
      </w:r>
    </w:p>
    <w:p w14:paraId="0000007B" w14:textId="631AC48F"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 xml:space="preserve">Antifragility, on the other hand, goes beyond mere resilience. Antifragile systems or organizations not only withstand shocks and disruptions but actually benefit from them. They become stronger, more adaptable, and more robust as a result of exposure to volatility and uncertainty. It then represents a more advanced and proactive approach to managing uncertainty and adversity (Taleb, 2014; Ritter and Pedersen, 2020; Munoz, Billsberry and Ambrosini, 2022). </w:t>
      </w:r>
    </w:p>
    <w:p w14:paraId="0000007C" w14:textId="77777777" w:rsidR="00985B1F" w:rsidRPr="00F2449F" w:rsidRDefault="00717D17" w:rsidP="007B62B8">
      <w:pPr>
        <w:spacing w:line="480" w:lineRule="auto"/>
        <w:ind w:firstLine="720"/>
        <w:jc w:val="both"/>
        <w:rPr>
          <w:lang w:val="en-US"/>
        </w:rPr>
      </w:pPr>
      <w:r w:rsidRPr="00F2449F">
        <w:rPr>
          <w:lang w:val="en-US"/>
        </w:rPr>
        <w:t xml:space="preserve">In contemporary discourse surrounding organizational adaptation, a contentious subject arises regarding the adequacy of established frameworks in addressing persistent uncertainties. This necessitates firms to perpetually refine their behavior and strategic approach. Building upon this foundation, this study contends that adaptation presents a challenge that extends beyond a conventional probabilistic and event-specific comprehension of risk, as well as transcending a paradigm of general preparedness (Aven, 2017). Instead, it advocates for a perspective that amplifies the concept of uncertainty in a more constructive light. It acknowledges, however, that reliance solely </w:t>
      </w:r>
      <w:r w:rsidRPr="00F2449F">
        <w:rPr>
          <w:lang w:val="en-US"/>
        </w:rPr>
        <w:lastRenderedPageBreak/>
        <w:t>on data analysis falls short of mitigating uncertainty and complexity (Gigerenzer, 2007; Guercini &amp; Lechner, 2021).</w:t>
      </w:r>
    </w:p>
    <w:p w14:paraId="0000007D" w14:textId="77777777" w:rsidR="00985B1F" w:rsidRPr="00F2449F" w:rsidRDefault="00717D17" w:rsidP="007B62B8">
      <w:pPr>
        <w:spacing w:line="480" w:lineRule="auto"/>
        <w:ind w:firstLine="720"/>
        <w:jc w:val="both"/>
        <w:rPr>
          <w:lang w:val="en-US"/>
        </w:rPr>
      </w:pPr>
      <w:r w:rsidRPr="00F2449F">
        <w:rPr>
          <w:lang w:val="en-US"/>
        </w:rPr>
        <w:t>This study represents a shift from investigating the factors aiding organizations in adapting to alleviate the adverse impacts of unstable market conditions and abrupt crises. Instead, it delves into how adaptation can function as a mechanism for B2B enterprises to not merely overcome adversity, but to actively extract benefits and flourish within environments characterized by endemic uncertainty.</w:t>
      </w:r>
    </w:p>
    <w:p w14:paraId="0000007E" w14:textId="77777777" w:rsidR="00985B1F" w:rsidRPr="00F2449F" w:rsidRDefault="00985B1F" w:rsidP="007B62B8">
      <w:pPr>
        <w:spacing w:line="480" w:lineRule="auto"/>
        <w:jc w:val="both"/>
        <w:rPr>
          <w:color w:val="222222"/>
          <w:highlight w:val="white"/>
          <w:lang w:val="en-US"/>
        </w:rPr>
      </w:pPr>
    </w:p>
    <w:p w14:paraId="0000007F" w14:textId="77777777" w:rsidR="00985B1F" w:rsidRPr="00F2449F" w:rsidRDefault="00717D17" w:rsidP="007B62B8">
      <w:pPr>
        <w:spacing w:line="480" w:lineRule="auto"/>
        <w:jc w:val="both"/>
        <w:rPr>
          <w:b/>
          <w:lang w:val="en-US"/>
        </w:rPr>
      </w:pPr>
      <w:r w:rsidRPr="00F2449F">
        <w:rPr>
          <w:b/>
          <w:lang w:val="en-US"/>
        </w:rPr>
        <w:t>3. Methodology</w:t>
      </w:r>
    </w:p>
    <w:p w14:paraId="00000080" w14:textId="77777777" w:rsidR="00985B1F" w:rsidRPr="00F2449F" w:rsidRDefault="00717D17" w:rsidP="007B62B8">
      <w:pPr>
        <w:spacing w:line="480" w:lineRule="auto"/>
        <w:ind w:firstLine="720"/>
        <w:jc w:val="both"/>
        <w:rPr>
          <w:color w:val="000000"/>
          <w:lang w:val="en-US"/>
        </w:rPr>
      </w:pPr>
      <w:r w:rsidRPr="00F2449F">
        <w:rPr>
          <w:color w:val="000000"/>
          <w:lang w:val="en-US"/>
        </w:rPr>
        <w:t>We adopted a discovery-oriented, theories-in-use (Zeithaml et al., 2020) and grounded theory method to approach our conceptualization task and put forward an organic theory of antifragile adaptation. We thus analyzed the underlying processes and interactions shaped by the views of multiple actors (Creswell &amp; Creswell, 2018). We adopted the Straussian tradition to identify the underlying dimensions that shape the abilities of companies to adapt and leverage uncertainty in the process of adaptation (Strauss &amp; Corbin, 1998) and combined this approach with a theories-in-use perspective to take advantage of the experiences and knowledge of the participants and identify both the relevant and related constructs that reflect the role of antifragile adaptation and its implications an organization’s viability in times of endemic uncertainty (Zeithaml et al., 2020).</w:t>
      </w:r>
    </w:p>
    <w:p w14:paraId="00000081" w14:textId="77777777" w:rsidR="00985B1F" w:rsidRPr="00F2449F" w:rsidRDefault="00985B1F" w:rsidP="007B62B8">
      <w:pPr>
        <w:pBdr>
          <w:top w:val="nil"/>
          <w:left w:val="nil"/>
          <w:bottom w:val="nil"/>
          <w:right w:val="nil"/>
          <w:between w:val="nil"/>
        </w:pBdr>
        <w:spacing w:line="480" w:lineRule="auto"/>
        <w:jc w:val="both"/>
        <w:rPr>
          <w:b/>
          <w:color w:val="000000"/>
          <w:lang w:val="en-US"/>
        </w:rPr>
      </w:pPr>
    </w:p>
    <w:p w14:paraId="00000082" w14:textId="77777777" w:rsidR="00985B1F" w:rsidRPr="00F2449F" w:rsidRDefault="00717D17" w:rsidP="007B62B8">
      <w:pPr>
        <w:pBdr>
          <w:top w:val="nil"/>
          <w:left w:val="nil"/>
          <w:bottom w:val="nil"/>
          <w:right w:val="nil"/>
          <w:between w:val="nil"/>
        </w:pBdr>
        <w:spacing w:line="480" w:lineRule="auto"/>
        <w:jc w:val="both"/>
        <w:rPr>
          <w:b/>
          <w:color w:val="000000"/>
          <w:lang w:val="en-US"/>
        </w:rPr>
      </w:pPr>
      <w:r w:rsidRPr="00F2449F">
        <w:rPr>
          <w:b/>
          <w:color w:val="000000"/>
          <w:lang w:val="en-US"/>
        </w:rPr>
        <w:t xml:space="preserve">3.1. Sample and data collection </w:t>
      </w:r>
    </w:p>
    <w:p w14:paraId="00000083" w14:textId="77777777" w:rsidR="00985B1F" w:rsidRPr="00F2449F" w:rsidRDefault="00717D17" w:rsidP="007B62B8">
      <w:pPr>
        <w:pBdr>
          <w:top w:val="nil"/>
          <w:left w:val="nil"/>
          <w:bottom w:val="nil"/>
          <w:right w:val="nil"/>
          <w:between w:val="nil"/>
        </w:pBdr>
        <w:spacing w:line="480" w:lineRule="auto"/>
        <w:ind w:firstLine="720"/>
        <w:jc w:val="both"/>
        <w:rPr>
          <w:b/>
          <w:color w:val="000000"/>
          <w:lang w:val="en-US"/>
        </w:rPr>
      </w:pPr>
      <w:r w:rsidRPr="00F2449F">
        <w:rPr>
          <w:color w:val="000000"/>
          <w:lang w:val="en-US"/>
        </w:rPr>
        <w:t xml:space="preserve">The data gathering process took place from October 2022 to January 2023. Utilizing a purposeful and snowball sampling technique (Johnson, 2015), we selected individuals possessing substantial expertise pertinent to our research inquiries (Strauss &amp; Corbin, 1998). Participants were chosen based on their capacity to provide comprehensive insights into their experiences and decision-making processes. Participants in this study are experts in the B2B field who experienced challenges related to adaptation during and after the Covid-19 crisis period. They were contacted through </w:t>
      </w:r>
      <w:r w:rsidRPr="00F2449F">
        <w:rPr>
          <w:color w:val="000000"/>
          <w:lang w:val="en-US"/>
        </w:rPr>
        <w:lastRenderedPageBreak/>
        <w:t>LinkedIn and the lead researchers’ personal contacts, and then were also asked to provide referrals of other potential subjects who were also invited to participate in the research. The size of the sample was determined by theoretical saturation which necessitates researchers to continue interviews until limited new practical insights emerge (Corbin &amp; Strauss, 2014). To ensure diversity within our sample, we deliberately selected participants with varying lengths of work tenure. This approach aligns with the recognition that different generations perceive organizational dynamics from distinct vantage points (e.g., Joshi, Dencker, &amp; Franz, 2011), thereby enriching our pattern discovery throughout the research.</w:t>
      </w:r>
    </w:p>
    <w:p w14:paraId="2A2408D5" w14:textId="77777777" w:rsidR="007876DB" w:rsidRPr="00F2449F" w:rsidRDefault="007876DB" w:rsidP="007B62B8">
      <w:pPr>
        <w:spacing w:line="480" w:lineRule="auto"/>
        <w:ind w:firstLine="720"/>
        <w:jc w:val="both"/>
        <w:rPr>
          <w:lang w:val="en-US"/>
        </w:rPr>
      </w:pPr>
      <w:r w:rsidRPr="00F2449F">
        <w:rPr>
          <w:lang w:val="en-US"/>
        </w:rPr>
        <w:t>The overall sample comprises 48 managers and directors operating within B2B contexts.</w:t>
      </w:r>
      <w:r w:rsidRPr="00F2449F">
        <w:rPr>
          <w:color w:val="000000"/>
          <w:lang w:val="en-US"/>
        </w:rPr>
        <w:t xml:space="preserve"> P</w:t>
      </w:r>
      <w:r w:rsidRPr="00F2449F">
        <w:rPr>
          <w:lang w:val="en-US"/>
        </w:rPr>
        <w:t xml:space="preserve">articipants in the study operate across 20 diverse industry sectors, including food &amp; beverage, industrial manufacturing, pharmaceutical and medical devices, apparel and fashion, and electronic equipment. The age range of participants spanned from 28 to 66 years old. They belong to medium- and large-sized firms and held various functional roles, encompassing management, operations, marketing, and innovation. These professionals operated in Italy and had expanded internationally, both within and outside Europe. The detailed participant profiles are provided in Table 2. </w:t>
      </w:r>
    </w:p>
    <w:p w14:paraId="00000084" w14:textId="7AA2D2FD" w:rsidR="00985B1F" w:rsidRPr="00F2449F" w:rsidRDefault="00717D17" w:rsidP="007B62B8">
      <w:pPr>
        <w:spacing w:line="480" w:lineRule="auto"/>
        <w:ind w:firstLine="720"/>
        <w:jc w:val="both"/>
        <w:rPr>
          <w:lang w:val="en-US"/>
        </w:rPr>
      </w:pPr>
      <w:r w:rsidRPr="00F2449F">
        <w:rPr>
          <w:color w:val="000000"/>
          <w:lang w:val="en-US"/>
        </w:rPr>
        <w:t xml:space="preserve">We present the key steps of data collection and analysis in Figure 1. Prior to the data collection phase, a comprehensive review of the existing adaptation literature was undertaken to delineate prior conceptualizations of the construct (Phase 1). In the second phase, we organized </w:t>
      </w:r>
      <w:r w:rsidRPr="00F2449F">
        <w:rPr>
          <w:lang w:val="en-US"/>
        </w:rPr>
        <w:t>three focus groups, each comprising six participants with the aim of exploring the evolution of adaptation in uncertain business environments and map its characteristics and propose a conceptualization of antifragile adaptation. In the third phase, we conducted 30 in-depth interviews with managers and directors operating within B2B contexts with the aim of understanding the factors driving, enabling or hinder</w:t>
      </w:r>
      <w:r w:rsidR="00FC4894" w:rsidRPr="00F2449F">
        <w:rPr>
          <w:lang w:val="en-US"/>
        </w:rPr>
        <w:t>ing</w:t>
      </w:r>
      <w:r w:rsidRPr="00F2449F">
        <w:rPr>
          <w:lang w:val="en-US"/>
        </w:rPr>
        <w:t xml:space="preserve"> the development of antifragile adaptation and understand </w:t>
      </w:r>
      <w:r w:rsidRPr="00F2449F">
        <w:rPr>
          <w:color w:val="000000"/>
          <w:lang w:val="en-US"/>
        </w:rPr>
        <w:t>how their respective organizations are adapting within dynamic contexts characterized by endemic uncertainty</w:t>
      </w:r>
      <w:r w:rsidRPr="00F2449F">
        <w:rPr>
          <w:lang w:val="en-US"/>
        </w:rPr>
        <w:t>. The interviews and focus groups were conducted via videoconference by the lead researchers. I</w:t>
      </w:r>
      <w:r w:rsidRPr="00F2449F">
        <w:rPr>
          <w:color w:val="000000"/>
          <w:lang w:val="en-US"/>
        </w:rPr>
        <w:t xml:space="preserve">n-depth interviews lasted on average 40 minutes each, while focus group lasted between 90 and 120 minutes, </w:t>
      </w:r>
      <w:r w:rsidRPr="00F2449F">
        <w:rPr>
          <w:color w:val="000000"/>
          <w:lang w:val="en-US"/>
        </w:rPr>
        <w:lastRenderedPageBreak/>
        <w:t xml:space="preserve">leading to a total of 25 hours of recordings. All the sessions were then transcribed into </w:t>
      </w:r>
      <w:r w:rsidRPr="00F2449F">
        <w:rPr>
          <w:lang w:val="en-US"/>
        </w:rPr>
        <w:t xml:space="preserve">153 pages and 104 pages of double-spaced text </w:t>
      </w:r>
      <w:r w:rsidR="00FC4894" w:rsidRPr="00F2449F">
        <w:rPr>
          <w:lang w:val="en-US"/>
        </w:rPr>
        <w:t xml:space="preserve">for focus groups and interviews </w:t>
      </w:r>
      <w:r w:rsidRPr="00F2449F">
        <w:rPr>
          <w:lang w:val="en-US"/>
        </w:rPr>
        <w:t>respectively.</w:t>
      </w:r>
    </w:p>
    <w:p w14:paraId="00000086" w14:textId="00CC6AC3"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 xml:space="preserve">The focus groups and the interview guide followed a semi-structured protocol and were composed of </w:t>
      </w:r>
      <w:r w:rsidR="00650B1A" w:rsidRPr="00F2449F">
        <w:rPr>
          <w:color w:val="000000"/>
          <w:lang w:val="en-US"/>
        </w:rPr>
        <w:t>four</w:t>
      </w:r>
      <w:r w:rsidRPr="00F2449F">
        <w:rPr>
          <w:color w:val="000000"/>
          <w:lang w:val="en-US"/>
        </w:rPr>
        <w:t xml:space="preserve"> open-ended questions that allowed the authors to acquire the necessary information. After being asked to provide an introduction to their profile and professional experience, participants were introduced to the topic of uncertainty in dynamic markets and asked about the implications of such contexts in their own organizations. Following the recommendations of Zeithaml et al. (2020), the discussion proceeded with a retrospective exercise that asked the participants to reflect on how their organizations are adapting to and coping with uncertainty: (1) Can you describe a recent situation or challenge where your company had to adapt quickly and what were the key factors that allowed your organization to improve in that scenario? (2) How does your company foster a culture of learning, and how do you ensure that lessons from both successes and failures are integrated into your business practices? (3) What mechanisms or processes do you have in place to detect early warning signals of potential disruptions or changes in your industry, and how do you translate this information into proactive adaptation strategies? (4) Can you discuss the most important factors and resources that allow your organization to stay agile and take advantage from changes in the market?</w:t>
      </w:r>
    </w:p>
    <w:p w14:paraId="00000087" w14:textId="77777777"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 xml:space="preserve">In this way, we identified common perceptions and experiences, while at the same time, were able to highlight differences to obtain a multifaceted perspective of the phenomenon under study (Creswell &amp; Creswell, 2018; Glaser &amp; Strauss, 2009). As a result, a series of themes and elements that characterized the role of antifragile adaptation were identified and further discussed, using probing questions that aimed at uncovering challenges and opportunities and shifts to characterize the evolution of B2B relationships in such contexts. Particular focus was placed on discussing the relevance and interactions of both the human and the technological aspects under uncertainty conditions to undercover the policies and practices introduced by the organization to try and keep pace with an ever-changing and unstable business environment.   </w:t>
      </w:r>
    </w:p>
    <w:p w14:paraId="00000088" w14:textId="77777777" w:rsidR="00985B1F" w:rsidRPr="00F2449F" w:rsidRDefault="00985B1F" w:rsidP="007B62B8">
      <w:pPr>
        <w:pBdr>
          <w:top w:val="nil"/>
          <w:left w:val="nil"/>
          <w:bottom w:val="nil"/>
          <w:right w:val="nil"/>
          <w:between w:val="nil"/>
        </w:pBdr>
        <w:spacing w:line="480" w:lineRule="auto"/>
        <w:ind w:firstLine="720"/>
        <w:jc w:val="both"/>
        <w:rPr>
          <w:color w:val="000000"/>
          <w:lang w:val="en-US"/>
        </w:rPr>
      </w:pPr>
    </w:p>
    <w:p w14:paraId="00000089" w14:textId="77777777" w:rsidR="00985B1F" w:rsidRPr="00F2449F" w:rsidRDefault="00717D17" w:rsidP="007B62B8">
      <w:pPr>
        <w:pBdr>
          <w:top w:val="nil"/>
          <w:left w:val="nil"/>
          <w:bottom w:val="nil"/>
          <w:right w:val="nil"/>
          <w:between w:val="nil"/>
        </w:pBdr>
        <w:spacing w:line="480" w:lineRule="auto"/>
        <w:jc w:val="both"/>
        <w:rPr>
          <w:b/>
          <w:color w:val="000000"/>
          <w:lang w:val="en-US"/>
        </w:rPr>
      </w:pPr>
      <w:r w:rsidRPr="00F2449F">
        <w:rPr>
          <w:b/>
          <w:color w:val="000000"/>
          <w:lang w:val="en-US"/>
        </w:rPr>
        <w:lastRenderedPageBreak/>
        <w:t>3.2. Data analysis</w:t>
      </w:r>
    </w:p>
    <w:p w14:paraId="0000008A" w14:textId="47834A89"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A grounded theory approach combined with a theories-in-use approach were applied to analyze the collected data (Glaser &amp; Strauss, 2009; Gioia</w:t>
      </w:r>
      <w:r w:rsidR="00F709CE" w:rsidRPr="00F2449F">
        <w:rPr>
          <w:color w:val="000000"/>
          <w:lang w:val="en-US"/>
        </w:rPr>
        <w:t>, Corley</w:t>
      </w:r>
      <w:r w:rsidRPr="00F2449F">
        <w:rPr>
          <w:color w:val="000000"/>
          <w:lang w:val="en-US"/>
        </w:rPr>
        <w:t>,</w:t>
      </w:r>
      <w:r w:rsidR="00F709CE" w:rsidRPr="00F2449F">
        <w:rPr>
          <w:color w:val="000000"/>
          <w:lang w:val="en-US"/>
        </w:rPr>
        <w:t xml:space="preserve"> &amp; Hamilton,</w:t>
      </w:r>
      <w:r w:rsidRPr="00F2449F">
        <w:rPr>
          <w:color w:val="000000"/>
          <w:lang w:val="en-US"/>
        </w:rPr>
        <w:t xml:space="preserve"> 2013; Zeithaml et al., 2020). Data analysis was articulated it into three key process steps to ensure a strong link between the empirical observations and the theoretical concepts, namely, open-coding, axial coding, selective coding, and grounded model development. </w:t>
      </w:r>
    </w:p>
    <w:p w14:paraId="0000008B" w14:textId="130F2822"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During the open-coding step, we identified a series of elements, events, and practices that stemmed from the narratives and the evidence obtained from the participants. During the open-coding process, we assigned meaningful quotations to these identified categories via in-vivo coding practice (</w:t>
      </w:r>
      <w:r w:rsidR="00F709CE" w:rsidRPr="00F2449F">
        <w:rPr>
          <w:color w:val="000000"/>
          <w:lang w:val="en-US"/>
        </w:rPr>
        <w:t xml:space="preserve">Gioia, Corley, &amp; Hamilton, </w:t>
      </w:r>
      <w:r w:rsidRPr="00F2449F">
        <w:rPr>
          <w:color w:val="000000"/>
          <w:lang w:val="en-US"/>
        </w:rPr>
        <w:t xml:space="preserve">2013). Similar codes were then merged to mirror our informants’ “concept-in-use”.  In the second step of the analysis (axial coding), the open codes were analyzed to uncover the elements’ influencing the core phenomenon, including a series of different strategies and practices applied by the companies to manage uncertainty and apply adaptation (Strauss &amp; Corbin, 2009). </w:t>
      </w:r>
    </w:p>
    <w:p w14:paraId="0D55C9FC" w14:textId="7E3DB503" w:rsidR="00597470" w:rsidRDefault="00717D17" w:rsidP="001E41AC">
      <w:pPr>
        <w:pBdr>
          <w:top w:val="nil"/>
          <w:left w:val="nil"/>
          <w:bottom w:val="nil"/>
          <w:right w:val="nil"/>
          <w:between w:val="nil"/>
        </w:pBdr>
        <w:spacing w:line="480" w:lineRule="auto"/>
        <w:ind w:firstLine="720"/>
        <w:jc w:val="both"/>
        <w:rPr>
          <w:color w:val="000000"/>
          <w:lang w:val="en-US"/>
        </w:rPr>
      </w:pPr>
      <w:r w:rsidRPr="00F2449F">
        <w:rPr>
          <w:color w:val="000000"/>
          <w:lang w:val="en-US"/>
        </w:rPr>
        <w:t>We went back and forth between the existing theory and the collected data to link the emerging themes with the prior literature (</w:t>
      </w:r>
      <w:r w:rsidR="00F709CE" w:rsidRPr="00F2449F">
        <w:rPr>
          <w:color w:val="000000"/>
          <w:lang w:val="en-US"/>
        </w:rPr>
        <w:t xml:space="preserve">Gioia, Corley, &amp; Hamilton, </w:t>
      </w:r>
      <w:r w:rsidRPr="00F2449F">
        <w:rPr>
          <w:color w:val="000000"/>
          <w:lang w:val="en-US"/>
        </w:rPr>
        <w:t>2013). Any conceptually overlapping and/or complementary categories were organized into second-order themes that represented the key elements that characterized antifragile adaptation deriving from the concept of antifragility as the ability of a system (organization) to improve its resilience through being exposed to stress (Taleb, 201</w:t>
      </w:r>
      <w:r w:rsidR="00E047EC" w:rsidRPr="00F2449F">
        <w:rPr>
          <w:color w:val="000000"/>
          <w:lang w:val="en-US"/>
        </w:rPr>
        <w:t>4</w:t>
      </w:r>
      <w:r w:rsidRPr="00F2449F">
        <w:rPr>
          <w:color w:val="000000"/>
          <w:lang w:val="en-US"/>
        </w:rPr>
        <w:t xml:space="preserve">). For instance, we used the code “real-time reallocation” to synthetize “We are able to allocate resources in a dynamic way through dedicated platforms. This allows us to quickly shift resources where they're needed most. This agility has been a game-changer for us”, we then merged this code with “dynamic funding redirection” and “resource alignment with strategic goals” into the first-order category “dynamic resource allocation”. In the second step of coding, we clustered the first-order categories “dynamic resource allocation” and “balancing exploration and exploitation” into the second-order theme “ambidexterity” as they both reflect how organizations master the ability </w:t>
      </w:r>
      <w:r w:rsidRPr="00F2449F">
        <w:rPr>
          <w:color w:val="000000"/>
          <w:lang w:val="en-US"/>
        </w:rPr>
        <w:lastRenderedPageBreak/>
        <w:t>to seek new opportunities while optimizing existing processes to adapt in uncertain environments. During the final step, we applied selective coding to further explain second order themes and integrate and connect them to create an articulated theory of antifragile adaptation. We matched these second-order themes with the insights derived through the research effort and repeated these processes until we reached stable aggregate dimensions at a higher level of theoretical abstraction. Table 3</w:t>
      </w:r>
      <w:r w:rsidR="00F038D9" w:rsidRPr="00F2449F">
        <w:rPr>
          <w:color w:val="000000"/>
          <w:lang w:val="en-US"/>
        </w:rPr>
        <w:t>.</w:t>
      </w:r>
      <w:r w:rsidRPr="00F2449F">
        <w:rPr>
          <w:color w:val="000000"/>
          <w:lang w:val="en-US"/>
        </w:rPr>
        <w:t xml:space="preserve"> presents the complete coding structure. </w:t>
      </w:r>
    </w:p>
    <w:p w14:paraId="20562E73" w14:textId="77777777" w:rsidR="00EA736D" w:rsidRPr="00F2449F" w:rsidRDefault="00EA736D" w:rsidP="001E41AC">
      <w:pPr>
        <w:pBdr>
          <w:top w:val="nil"/>
          <w:left w:val="nil"/>
          <w:bottom w:val="nil"/>
          <w:right w:val="nil"/>
          <w:between w:val="nil"/>
        </w:pBdr>
        <w:spacing w:line="480" w:lineRule="auto"/>
        <w:ind w:firstLine="720"/>
        <w:jc w:val="both"/>
        <w:rPr>
          <w:color w:val="000000"/>
          <w:lang w:val="en-US"/>
        </w:rPr>
      </w:pPr>
      <w:bookmarkStart w:id="1" w:name="_GoBack"/>
      <w:bookmarkEnd w:id="1"/>
    </w:p>
    <w:p w14:paraId="0000008E" w14:textId="77777777" w:rsidR="00985B1F" w:rsidRPr="00F2449F" w:rsidRDefault="00717D17" w:rsidP="007B62B8">
      <w:pPr>
        <w:spacing w:line="480" w:lineRule="auto"/>
        <w:jc w:val="both"/>
        <w:rPr>
          <w:b/>
          <w:color w:val="000000"/>
          <w:lang w:val="en-US"/>
        </w:rPr>
      </w:pPr>
      <w:r w:rsidRPr="00F2449F">
        <w:rPr>
          <w:b/>
          <w:color w:val="000000"/>
          <w:lang w:val="en-US"/>
        </w:rPr>
        <w:t>Figure 1. Key steps of data analysis</w:t>
      </w:r>
    </w:p>
    <w:p w14:paraId="0000008F" w14:textId="7269D83E" w:rsidR="00985B1F" w:rsidRPr="00F2449F" w:rsidRDefault="00597470" w:rsidP="007B62B8">
      <w:pPr>
        <w:spacing w:line="480" w:lineRule="auto"/>
        <w:jc w:val="both"/>
        <w:rPr>
          <w:color w:val="000000"/>
          <w:lang w:val="en-US"/>
        </w:rPr>
      </w:pPr>
      <w:r w:rsidRPr="00F2449F">
        <w:rPr>
          <w:noProof/>
          <w:color w:val="000000"/>
          <w:lang w:val="en-US"/>
        </w:rPr>
        <w:drawing>
          <wp:inline distT="0" distB="0" distL="0" distR="0" wp14:anchorId="6199C9D8" wp14:editId="3AFA3B38">
            <wp:extent cx="3349048" cy="5989964"/>
            <wp:effectExtent l="0" t="0" r="3810" b="4445"/>
            <wp:docPr id="1" name="Immagine 1" descr="Immagine che contiene testo, schermata, Caratte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hermata 2023-09-17 alle 19.00.50.png"/>
                    <pic:cNvPicPr/>
                  </pic:nvPicPr>
                  <pic:blipFill>
                    <a:blip r:embed="rId7">
                      <a:extLst>
                        <a:ext uri="{28A0092B-C50C-407E-A947-70E740481C1C}">
                          <a14:useLocalDpi xmlns:a14="http://schemas.microsoft.com/office/drawing/2010/main" val="0"/>
                        </a:ext>
                      </a:extLst>
                    </a:blip>
                    <a:stretch>
                      <a:fillRect/>
                    </a:stretch>
                  </pic:blipFill>
                  <pic:spPr>
                    <a:xfrm>
                      <a:off x="0" y="0"/>
                      <a:ext cx="3358801" cy="6007408"/>
                    </a:xfrm>
                    <a:prstGeom prst="rect">
                      <a:avLst/>
                    </a:prstGeom>
                  </pic:spPr>
                </pic:pic>
              </a:graphicData>
            </a:graphic>
          </wp:inline>
        </w:drawing>
      </w:r>
    </w:p>
    <w:p w14:paraId="00000090" w14:textId="77777777" w:rsidR="00985B1F" w:rsidRPr="00F2449F" w:rsidRDefault="00985B1F" w:rsidP="007B62B8">
      <w:pPr>
        <w:spacing w:line="480" w:lineRule="auto"/>
        <w:jc w:val="both"/>
        <w:rPr>
          <w:b/>
          <w:color w:val="000000"/>
          <w:lang w:val="en-US"/>
        </w:rPr>
      </w:pPr>
    </w:p>
    <w:p w14:paraId="00000091" w14:textId="77777777" w:rsidR="00985B1F" w:rsidRPr="00F2449F" w:rsidRDefault="00717D17" w:rsidP="007B62B8">
      <w:pPr>
        <w:spacing w:line="480" w:lineRule="auto"/>
        <w:jc w:val="both"/>
        <w:rPr>
          <w:b/>
          <w:color w:val="000000"/>
          <w:lang w:val="en-US"/>
        </w:rPr>
      </w:pPr>
      <w:r w:rsidRPr="00F2449F">
        <w:rPr>
          <w:b/>
          <w:color w:val="000000"/>
          <w:lang w:val="en-US"/>
        </w:rPr>
        <w:lastRenderedPageBreak/>
        <w:t>Table 2: Participant Profiles</w:t>
      </w:r>
    </w:p>
    <w:tbl>
      <w:tblPr>
        <w:tblStyle w:val="a0"/>
        <w:tblW w:w="9010" w:type="dxa"/>
        <w:tblBorders>
          <w:top w:val="nil"/>
          <w:left w:val="nil"/>
          <w:bottom w:val="nil"/>
          <w:right w:val="nil"/>
          <w:insideH w:val="nil"/>
          <w:insideV w:val="nil"/>
        </w:tblBorders>
        <w:tblLayout w:type="fixed"/>
        <w:tblLook w:val="0400" w:firstRow="0" w:lastRow="0" w:firstColumn="0" w:lastColumn="0" w:noHBand="0" w:noVBand="1"/>
      </w:tblPr>
      <w:tblGrid>
        <w:gridCol w:w="420"/>
        <w:gridCol w:w="2127"/>
        <w:gridCol w:w="1276"/>
        <w:gridCol w:w="1134"/>
        <w:gridCol w:w="4053"/>
      </w:tblGrid>
      <w:tr w:rsidR="00985B1F" w:rsidRPr="00F2449F" w14:paraId="69F85D13" w14:textId="77777777">
        <w:tc>
          <w:tcPr>
            <w:tcW w:w="420" w:type="dxa"/>
            <w:tcBorders>
              <w:top w:val="single" w:sz="12" w:space="0" w:color="000000"/>
              <w:bottom w:val="single" w:sz="12" w:space="0" w:color="000000"/>
              <w:right w:val="single" w:sz="4" w:space="0" w:color="000000"/>
            </w:tcBorders>
            <w:vAlign w:val="center"/>
          </w:tcPr>
          <w:p w14:paraId="00000092" w14:textId="77777777" w:rsidR="00985B1F" w:rsidRPr="00F2449F" w:rsidRDefault="00717D17" w:rsidP="007B62B8">
            <w:pPr>
              <w:jc w:val="both"/>
              <w:rPr>
                <w:b/>
                <w:color w:val="000000"/>
                <w:sz w:val="18"/>
                <w:szCs w:val="18"/>
                <w:lang w:val="en-US"/>
              </w:rPr>
            </w:pPr>
            <w:r w:rsidRPr="00F2449F">
              <w:rPr>
                <w:b/>
                <w:color w:val="000000"/>
                <w:sz w:val="18"/>
                <w:szCs w:val="18"/>
                <w:lang w:val="en-US"/>
              </w:rPr>
              <w:t>#</w:t>
            </w:r>
          </w:p>
        </w:tc>
        <w:tc>
          <w:tcPr>
            <w:tcW w:w="2127" w:type="dxa"/>
            <w:tcBorders>
              <w:top w:val="single" w:sz="12" w:space="0" w:color="000000"/>
              <w:left w:val="single" w:sz="4" w:space="0" w:color="000000"/>
              <w:bottom w:val="single" w:sz="12" w:space="0" w:color="000000"/>
            </w:tcBorders>
            <w:vAlign w:val="center"/>
          </w:tcPr>
          <w:p w14:paraId="00000093" w14:textId="77777777" w:rsidR="00985B1F" w:rsidRPr="00F2449F" w:rsidRDefault="00717D17" w:rsidP="007B62B8">
            <w:pPr>
              <w:jc w:val="both"/>
              <w:rPr>
                <w:b/>
                <w:color w:val="000000"/>
                <w:sz w:val="18"/>
                <w:szCs w:val="18"/>
                <w:lang w:val="en-US"/>
              </w:rPr>
            </w:pPr>
            <w:r w:rsidRPr="00F2449F">
              <w:rPr>
                <w:b/>
                <w:color w:val="000000"/>
                <w:sz w:val="18"/>
                <w:szCs w:val="18"/>
                <w:lang w:val="en-US"/>
              </w:rPr>
              <w:t>Job Position</w:t>
            </w:r>
          </w:p>
        </w:tc>
        <w:tc>
          <w:tcPr>
            <w:tcW w:w="1276" w:type="dxa"/>
            <w:tcBorders>
              <w:top w:val="single" w:sz="12" w:space="0" w:color="000000"/>
              <w:bottom w:val="single" w:sz="12" w:space="0" w:color="000000"/>
            </w:tcBorders>
            <w:vAlign w:val="center"/>
          </w:tcPr>
          <w:p w14:paraId="00000094" w14:textId="77777777" w:rsidR="00985B1F" w:rsidRPr="00F2449F" w:rsidRDefault="00717D17" w:rsidP="007B62B8">
            <w:pPr>
              <w:jc w:val="both"/>
              <w:rPr>
                <w:b/>
                <w:color w:val="000000"/>
                <w:sz w:val="18"/>
                <w:szCs w:val="18"/>
                <w:lang w:val="en-US"/>
              </w:rPr>
            </w:pPr>
            <w:r w:rsidRPr="00F2449F">
              <w:rPr>
                <w:b/>
                <w:color w:val="000000"/>
                <w:sz w:val="18"/>
                <w:szCs w:val="18"/>
                <w:lang w:val="en-US"/>
              </w:rPr>
              <w:t>Gender</w:t>
            </w:r>
          </w:p>
        </w:tc>
        <w:tc>
          <w:tcPr>
            <w:tcW w:w="1134" w:type="dxa"/>
            <w:tcBorders>
              <w:top w:val="single" w:sz="12" w:space="0" w:color="000000"/>
              <w:bottom w:val="single" w:sz="12" w:space="0" w:color="000000"/>
            </w:tcBorders>
            <w:vAlign w:val="center"/>
          </w:tcPr>
          <w:p w14:paraId="00000095" w14:textId="77777777" w:rsidR="00985B1F" w:rsidRPr="00F2449F" w:rsidRDefault="00717D17" w:rsidP="007B62B8">
            <w:pPr>
              <w:jc w:val="both"/>
              <w:rPr>
                <w:b/>
                <w:color w:val="000000"/>
                <w:sz w:val="18"/>
                <w:szCs w:val="18"/>
                <w:lang w:val="en-US"/>
              </w:rPr>
            </w:pPr>
            <w:r w:rsidRPr="00F2449F">
              <w:rPr>
                <w:b/>
                <w:color w:val="000000"/>
                <w:sz w:val="18"/>
                <w:szCs w:val="18"/>
                <w:lang w:val="en-US"/>
              </w:rPr>
              <w:t>Seniority (in years)</w:t>
            </w:r>
          </w:p>
        </w:tc>
        <w:tc>
          <w:tcPr>
            <w:tcW w:w="4053" w:type="dxa"/>
            <w:tcBorders>
              <w:top w:val="single" w:sz="12" w:space="0" w:color="000000"/>
              <w:bottom w:val="single" w:sz="12" w:space="0" w:color="000000"/>
            </w:tcBorders>
            <w:vAlign w:val="center"/>
          </w:tcPr>
          <w:p w14:paraId="00000096" w14:textId="77777777" w:rsidR="00985B1F" w:rsidRPr="00F2449F" w:rsidRDefault="00717D17" w:rsidP="007B62B8">
            <w:pPr>
              <w:jc w:val="both"/>
              <w:rPr>
                <w:b/>
                <w:color w:val="000000"/>
                <w:sz w:val="18"/>
                <w:szCs w:val="18"/>
                <w:lang w:val="en-US"/>
              </w:rPr>
            </w:pPr>
            <w:r w:rsidRPr="00F2449F">
              <w:rPr>
                <w:b/>
                <w:color w:val="000000"/>
                <w:sz w:val="18"/>
                <w:szCs w:val="18"/>
                <w:lang w:val="en-US"/>
              </w:rPr>
              <w:t>Industry</w:t>
            </w:r>
          </w:p>
        </w:tc>
      </w:tr>
      <w:tr w:rsidR="00985B1F" w:rsidRPr="00F2449F" w14:paraId="78178A20" w14:textId="77777777">
        <w:tc>
          <w:tcPr>
            <w:tcW w:w="420" w:type="dxa"/>
            <w:tcBorders>
              <w:top w:val="single" w:sz="12" w:space="0" w:color="000000"/>
              <w:right w:val="single" w:sz="4" w:space="0" w:color="000000"/>
            </w:tcBorders>
            <w:vAlign w:val="center"/>
          </w:tcPr>
          <w:p w14:paraId="00000097" w14:textId="77777777" w:rsidR="00985B1F" w:rsidRPr="00F2449F" w:rsidRDefault="00717D17" w:rsidP="007B62B8">
            <w:pPr>
              <w:jc w:val="both"/>
              <w:rPr>
                <w:color w:val="000000"/>
                <w:sz w:val="18"/>
                <w:szCs w:val="18"/>
                <w:lang w:val="en-US"/>
              </w:rPr>
            </w:pPr>
            <w:r w:rsidRPr="00F2449F">
              <w:rPr>
                <w:color w:val="000000"/>
                <w:sz w:val="18"/>
                <w:szCs w:val="18"/>
                <w:lang w:val="en-US"/>
              </w:rPr>
              <w:t>1</w:t>
            </w:r>
          </w:p>
        </w:tc>
        <w:tc>
          <w:tcPr>
            <w:tcW w:w="2127" w:type="dxa"/>
            <w:tcBorders>
              <w:top w:val="single" w:sz="12" w:space="0" w:color="000000"/>
              <w:left w:val="single" w:sz="4" w:space="0" w:color="000000"/>
            </w:tcBorders>
            <w:vAlign w:val="center"/>
          </w:tcPr>
          <w:p w14:paraId="00000098" w14:textId="77777777" w:rsidR="00985B1F" w:rsidRPr="00F2449F" w:rsidRDefault="00717D17" w:rsidP="007B62B8">
            <w:pPr>
              <w:jc w:val="both"/>
              <w:rPr>
                <w:color w:val="000000"/>
                <w:sz w:val="18"/>
                <w:szCs w:val="18"/>
                <w:lang w:val="en-US"/>
              </w:rPr>
            </w:pPr>
            <w:r w:rsidRPr="00F2449F">
              <w:rPr>
                <w:color w:val="000000"/>
                <w:sz w:val="18"/>
                <w:szCs w:val="18"/>
                <w:lang w:val="en-US"/>
              </w:rPr>
              <w:t>Export Manager</w:t>
            </w:r>
          </w:p>
        </w:tc>
        <w:tc>
          <w:tcPr>
            <w:tcW w:w="1276" w:type="dxa"/>
            <w:tcBorders>
              <w:top w:val="single" w:sz="12" w:space="0" w:color="000000"/>
            </w:tcBorders>
            <w:vAlign w:val="center"/>
          </w:tcPr>
          <w:p w14:paraId="00000099"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tcBorders>
              <w:top w:val="single" w:sz="12" w:space="0" w:color="000000"/>
            </w:tcBorders>
            <w:vAlign w:val="center"/>
          </w:tcPr>
          <w:p w14:paraId="0000009A" w14:textId="77777777" w:rsidR="00985B1F" w:rsidRPr="00F2449F" w:rsidRDefault="00717D17" w:rsidP="007B62B8">
            <w:pPr>
              <w:jc w:val="both"/>
              <w:rPr>
                <w:color w:val="000000"/>
                <w:sz w:val="18"/>
                <w:szCs w:val="18"/>
                <w:lang w:val="en-US"/>
              </w:rPr>
            </w:pPr>
            <w:r w:rsidRPr="00F2449F">
              <w:rPr>
                <w:color w:val="000000"/>
                <w:sz w:val="18"/>
                <w:szCs w:val="18"/>
                <w:lang w:val="en-US"/>
              </w:rPr>
              <w:t>15</w:t>
            </w:r>
          </w:p>
        </w:tc>
        <w:tc>
          <w:tcPr>
            <w:tcW w:w="4053" w:type="dxa"/>
            <w:tcBorders>
              <w:top w:val="single" w:sz="12" w:space="0" w:color="000000"/>
            </w:tcBorders>
            <w:vAlign w:val="center"/>
          </w:tcPr>
          <w:p w14:paraId="0000009B" w14:textId="77777777" w:rsidR="00985B1F" w:rsidRPr="00F2449F" w:rsidRDefault="00717D17" w:rsidP="007B62B8">
            <w:pPr>
              <w:jc w:val="both"/>
              <w:rPr>
                <w:color w:val="000000"/>
                <w:sz w:val="18"/>
                <w:szCs w:val="18"/>
                <w:lang w:val="en-US"/>
              </w:rPr>
            </w:pPr>
            <w:r w:rsidRPr="00F2449F">
              <w:rPr>
                <w:color w:val="000000"/>
                <w:sz w:val="18"/>
                <w:szCs w:val="18"/>
                <w:lang w:val="en-US"/>
              </w:rPr>
              <w:t>Industrial Manufacturing</w:t>
            </w:r>
          </w:p>
        </w:tc>
      </w:tr>
      <w:tr w:rsidR="00985B1F" w:rsidRPr="00F2449F" w14:paraId="3A1AE0DE" w14:textId="77777777">
        <w:tc>
          <w:tcPr>
            <w:tcW w:w="420" w:type="dxa"/>
            <w:tcBorders>
              <w:right w:val="single" w:sz="4" w:space="0" w:color="000000"/>
            </w:tcBorders>
            <w:vAlign w:val="center"/>
          </w:tcPr>
          <w:p w14:paraId="0000009C" w14:textId="77777777" w:rsidR="00985B1F" w:rsidRPr="00F2449F" w:rsidRDefault="00717D17" w:rsidP="007B62B8">
            <w:pPr>
              <w:jc w:val="both"/>
              <w:rPr>
                <w:color w:val="000000"/>
                <w:sz w:val="18"/>
                <w:szCs w:val="18"/>
                <w:lang w:val="en-US"/>
              </w:rPr>
            </w:pPr>
            <w:r w:rsidRPr="00F2449F">
              <w:rPr>
                <w:color w:val="000000"/>
                <w:sz w:val="18"/>
                <w:szCs w:val="18"/>
                <w:lang w:val="en-US"/>
              </w:rPr>
              <w:t>2</w:t>
            </w:r>
          </w:p>
        </w:tc>
        <w:tc>
          <w:tcPr>
            <w:tcW w:w="2127" w:type="dxa"/>
            <w:tcBorders>
              <w:left w:val="single" w:sz="4" w:space="0" w:color="000000"/>
            </w:tcBorders>
            <w:vAlign w:val="center"/>
          </w:tcPr>
          <w:p w14:paraId="0000009D" w14:textId="77777777" w:rsidR="00985B1F" w:rsidRPr="00F2449F" w:rsidRDefault="00717D17" w:rsidP="007B62B8">
            <w:pPr>
              <w:jc w:val="both"/>
              <w:rPr>
                <w:color w:val="000000"/>
                <w:sz w:val="18"/>
                <w:szCs w:val="18"/>
                <w:lang w:val="en-US"/>
              </w:rPr>
            </w:pPr>
            <w:r w:rsidRPr="00F2449F">
              <w:rPr>
                <w:color w:val="000000"/>
                <w:sz w:val="18"/>
                <w:szCs w:val="18"/>
                <w:lang w:val="en-US"/>
              </w:rPr>
              <w:t>Sales Director</w:t>
            </w:r>
          </w:p>
        </w:tc>
        <w:tc>
          <w:tcPr>
            <w:tcW w:w="1276" w:type="dxa"/>
            <w:vAlign w:val="center"/>
          </w:tcPr>
          <w:p w14:paraId="0000009E"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09F" w14:textId="77777777" w:rsidR="00985B1F" w:rsidRPr="00F2449F" w:rsidRDefault="00717D17" w:rsidP="007B62B8">
            <w:pPr>
              <w:jc w:val="both"/>
              <w:rPr>
                <w:color w:val="000000"/>
                <w:sz w:val="18"/>
                <w:szCs w:val="18"/>
                <w:lang w:val="en-US"/>
              </w:rPr>
            </w:pPr>
            <w:r w:rsidRPr="00F2449F">
              <w:rPr>
                <w:color w:val="000000"/>
                <w:sz w:val="18"/>
                <w:szCs w:val="18"/>
                <w:lang w:val="en-US"/>
              </w:rPr>
              <w:t>18</w:t>
            </w:r>
          </w:p>
        </w:tc>
        <w:tc>
          <w:tcPr>
            <w:tcW w:w="4053" w:type="dxa"/>
            <w:vAlign w:val="center"/>
          </w:tcPr>
          <w:p w14:paraId="000000A0" w14:textId="77777777" w:rsidR="00985B1F" w:rsidRPr="00F2449F" w:rsidRDefault="00717D17" w:rsidP="007B62B8">
            <w:pPr>
              <w:jc w:val="both"/>
              <w:rPr>
                <w:color w:val="000000"/>
                <w:sz w:val="18"/>
                <w:szCs w:val="18"/>
                <w:lang w:val="en-US"/>
              </w:rPr>
            </w:pPr>
            <w:r w:rsidRPr="00F2449F">
              <w:rPr>
                <w:color w:val="000000"/>
                <w:sz w:val="18"/>
                <w:szCs w:val="18"/>
                <w:lang w:val="en-US"/>
              </w:rPr>
              <w:t>Packaging</w:t>
            </w:r>
          </w:p>
        </w:tc>
      </w:tr>
      <w:tr w:rsidR="00985B1F" w:rsidRPr="00EA736D" w14:paraId="34316636" w14:textId="77777777">
        <w:tc>
          <w:tcPr>
            <w:tcW w:w="420" w:type="dxa"/>
            <w:tcBorders>
              <w:right w:val="single" w:sz="4" w:space="0" w:color="000000"/>
            </w:tcBorders>
            <w:vAlign w:val="center"/>
          </w:tcPr>
          <w:p w14:paraId="000000A1" w14:textId="77777777" w:rsidR="00985B1F" w:rsidRPr="00F2449F" w:rsidRDefault="00717D17" w:rsidP="007B62B8">
            <w:pPr>
              <w:jc w:val="both"/>
              <w:rPr>
                <w:color w:val="000000"/>
                <w:sz w:val="18"/>
                <w:szCs w:val="18"/>
                <w:lang w:val="en-US"/>
              </w:rPr>
            </w:pPr>
            <w:r w:rsidRPr="00F2449F">
              <w:rPr>
                <w:color w:val="000000"/>
                <w:sz w:val="18"/>
                <w:szCs w:val="18"/>
                <w:lang w:val="en-US"/>
              </w:rPr>
              <w:t>3</w:t>
            </w:r>
          </w:p>
        </w:tc>
        <w:tc>
          <w:tcPr>
            <w:tcW w:w="2127" w:type="dxa"/>
            <w:tcBorders>
              <w:left w:val="single" w:sz="4" w:space="0" w:color="000000"/>
            </w:tcBorders>
            <w:vAlign w:val="center"/>
          </w:tcPr>
          <w:p w14:paraId="000000A2" w14:textId="77777777" w:rsidR="00985B1F" w:rsidRPr="00F2449F" w:rsidRDefault="00717D17" w:rsidP="007B62B8">
            <w:pPr>
              <w:jc w:val="both"/>
              <w:rPr>
                <w:color w:val="000000"/>
                <w:sz w:val="18"/>
                <w:szCs w:val="18"/>
                <w:lang w:val="en-US"/>
              </w:rPr>
            </w:pPr>
            <w:r w:rsidRPr="00F2449F">
              <w:rPr>
                <w:color w:val="000000"/>
                <w:sz w:val="18"/>
                <w:szCs w:val="18"/>
                <w:lang w:val="en-US"/>
              </w:rPr>
              <w:t>CEO</w:t>
            </w:r>
          </w:p>
        </w:tc>
        <w:tc>
          <w:tcPr>
            <w:tcW w:w="1276" w:type="dxa"/>
            <w:vAlign w:val="center"/>
          </w:tcPr>
          <w:p w14:paraId="000000A3"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0A4" w14:textId="77777777" w:rsidR="00985B1F" w:rsidRPr="00F2449F" w:rsidRDefault="00717D17" w:rsidP="007B62B8">
            <w:pPr>
              <w:jc w:val="both"/>
              <w:rPr>
                <w:color w:val="000000"/>
                <w:sz w:val="18"/>
                <w:szCs w:val="18"/>
                <w:lang w:val="en-US"/>
              </w:rPr>
            </w:pPr>
            <w:r w:rsidRPr="00F2449F">
              <w:rPr>
                <w:color w:val="000000"/>
                <w:sz w:val="18"/>
                <w:szCs w:val="18"/>
                <w:lang w:val="en-US"/>
              </w:rPr>
              <w:t>25</w:t>
            </w:r>
          </w:p>
        </w:tc>
        <w:tc>
          <w:tcPr>
            <w:tcW w:w="4053" w:type="dxa"/>
            <w:vAlign w:val="center"/>
          </w:tcPr>
          <w:p w14:paraId="000000A5" w14:textId="77777777" w:rsidR="00985B1F" w:rsidRPr="00F2449F" w:rsidRDefault="00717D17" w:rsidP="007B62B8">
            <w:pPr>
              <w:jc w:val="both"/>
              <w:rPr>
                <w:color w:val="000000"/>
                <w:sz w:val="18"/>
                <w:szCs w:val="18"/>
                <w:lang w:val="en-US"/>
              </w:rPr>
            </w:pPr>
            <w:r w:rsidRPr="00F2449F">
              <w:rPr>
                <w:color w:val="000000"/>
                <w:sz w:val="18"/>
                <w:szCs w:val="18"/>
                <w:lang w:val="en-US"/>
              </w:rPr>
              <w:t>Life Sciences and Healthcare (medical devices)</w:t>
            </w:r>
          </w:p>
        </w:tc>
      </w:tr>
      <w:tr w:rsidR="00985B1F" w:rsidRPr="00F2449F" w14:paraId="662AFCFB" w14:textId="77777777">
        <w:tc>
          <w:tcPr>
            <w:tcW w:w="420" w:type="dxa"/>
            <w:tcBorders>
              <w:right w:val="single" w:sz="4" w:space="0" w:color="000000"/>
            </w:tcBorders>
            <w:vAlign w:val="center"/>
          </w:tcPr>
          <w:p w14:paraId="000000A6" w14:textId="77777777" w:rsidR="00985B1F" w:rsidRPr="00F2449F" w:rsidRDefault="00717D17" w:rsidP="007B62B8">
            <w:pPr>
              <w:jc w:val="both"/>
              <w:rPr>
                <w:color w:val="000000"/>
                <w:sz w:val="18"/>
                <w:szCs w:val="18"/>
                <w:lang w:val="en-US"/>
              </w:rPr>
            </w:pPr>
            <w:r w:rsidRPr="00F2449F">
              <w:rPr>
                <w:color w:val="000000"/>
                <w:sz w:val="18"/>
                <w:szCs w:val="18"/>
                <w:lang w:val="en-US"/>
              </w:rPr>
              <w:t>4</w:t>
            </w:r>
          </w:p>
        </w:tc>
        <w:tc>
          <w:tcPr>
            <w:tcW w:w="2127" w:type="dxa"/>
            <w:tcBorders>
              <w:left w:val="single" w:sz="4" w:space="0" w:color="000000"/>
            </w:tcBorders>
            <w:vAlign w:val="center"/>
          </w:tcPr>
          <w:p w14:paraId="000000A7" w14:textId="77777777" w:rsidR="00985B1F" w:rsidRPr="00F2449F" w:rsidRDefault="00717D17" w:rsidP="007B62B8">
            <w:pPr>
              <w:jc w:val="both"/>
              <w:rPr>
                <w:color w:val="000000"/>
                <w:sz w:val="18"/>
                <w:szCs w:val="18"/>
                <w:lang w:val="en-US"/>
              </w:rPr>
            </w:pPr>
            <w:r w:rsidRPr="00F2449F">
              <w:rPr>
                <w:color w:val="000000"/>
                <w:sz w:val="18"/>
                <w:szCs w:val="18"/>
                <w:lang w:val="en-US"/>
              </w:rPr>
              <w:t>Sales Director</w:t>
            </w:r>
          </w:p>
        </w:tc>
        <w:tc>
          <w:tcPr>
            <w:tcW w:w="1276" w:type="dxa"/>
            <w:vAlign w:val="center"/>
          </w:tcPr>
          <w:p w14:paraId="000000A8" w14:textId="77777777" w:rsidR="00985B1F" w:rsidRPr="00F2449F" w:rsidRDefault="00717D17" w:rsidP="007B62B8">
            <w:pPr>
              <w:jc w:val="both"/>
              <w:rPr>
                <w:color w:val="000000"/>
                <w:sz w:val="18"/>
                <w:szCs w:val="18"/>
                <w:lang w:val="en-US"/>
              </w:rPr>
            </w:pPr>
            <w:r w:rsidRPr="00F2449F">
              <w:rPr>
                <w:color w:val="000000"/>
                <w:sz w:val="18"/>
                <w:szCs w:val="18"/>
                <w:lang w:val="en-US"/>
              </w:rPr>
              <w:t xml:space="preserve">Female </w:t>
            </w:r>
          </w:p>
        </w:tc>
        <w:tc>
          <w:tcPr>
            <w:tcW w:w="1134" w:type="dxa"/>
            <w:vAlign w:val="center"/>
          </w:tcPr>
          <w:p w14:paraId="000000A9" w14:textId="77777777" w:rsidR="00985B1F" w:rsidRPr="00F2449F" w:rsidRDefault="00717D17" w:rsidP="007B62B8">
            <w:pPr>
              <w:jc w:val="both"/>
              <w:rPr>
                <w:color w:val="000000"/>
                <w:sz w:val="18"/>
                <w:szCs w:val="18"/>
                <w:lang w:val="en-US"/>
              </w:rPr>
            </w:pPr>
            <w:r w:rsidRPr="00F2449F">
              <w:rPr>
                <w:color w:val="000000"/>
                <w:sz w:val="18"/>
                <w:szCs w:val="18"/>
                <w:lang w:val="en-US"/>
              </w:rPr>
              <w:t>12</w:t>
            </w:r>
          </w:p>
        </w:tc>
        <w:tc>
          <w:tcPr>
            <w:tcW w:w="4053" w:type="dxa"/>
            <w:vAlign w:val="center"/>
          </w:tcPr>
          <w:p w14:paraId="000000AA" w14:textId="77777777" w:rsidR="00985B1F" w:rsidRPr="00F2449F" w:rsidRDefault="00717D17" w:rsidP="007B62B8">
            <w:pPr>
              <w:jc w:val="both"/>
              <w:rPr>
                <w:color w:val="000000"/>
                <w:sz w:val="18"/>
                <w:szCs w:val="18"/>
                <w:lang w:val="en-US"/>
              </w:rPr>
            </w:pPr>
            <w:r w:rsidRPr="00F2449F">
              <w:rPr>
                <w:color w:val="000000"/>
                <w:sz w:val="18"/>
                <w:szCs w:val="18"/>
                <w:lang w:val="en-US"/>
              </w:rPr>
              <w:t>Life Sciences and Healthcare</w:t>
            </w:r>
          </w:p>
        </w:tc>
      </w:tr>
      <w:tr w:rsidR="00985B1F" w:rsidRPr="00F2449F" w14:paraId="1A382172" w14:textId="77777777">
        <w:tc>
          <w:tcPr>
            <w:tcW w:w="420" w:type="dxa"/>
            <w:tcBorders>
              <w:right w:val="single" w:sz="4" w:space="0" w:color="000000"/>
            </w:tcBorders>
            <w:vAlign w:val="center"/>
          </w:tcPr>
          <w:p w14:paraId="000000AB" w14:textId="77777777" w:rsidR="00985B1F" w:rsidRPr="00F2449F" w:rsidRDefault="00717D17" w:rsidP="007B62B8">
            <w:pPr>
              <w:jc w:val="both"/>
              <w:rPr>
                <w:color w:val="000000"/>
                <w:sz w:val="18"/>
                <w:szCs w:val="18"/>
                <w:lang w:val="en-US"/>
              </w:rPr>
            </w:pPr>
            <w:r w:rsidRPr="00F2449F">
              <w:rPr>
                <w:color w:val="000000"/>
                <w:sz w:val="18"/>
                <w:szCs w:val="18"/>
                <w:lang w:val="en-US"/>
              </w:rPr>
              <w:t>5</w:t>
            </w:r>
          </w:p>
        </w:tc>
        <w:tc>
          <w:tcPr>
            <w:tcW w:w="2127" w:type="dxa"/>
            <w:tcBorders>
              <w:left w:val="single" w:sz="4" w:space="0" w:color="000000"/>
            </w:tcBorders>
            <w:vAlign w:val="center"/>
          </w:tcPr>
          <w:p w14:paraId="000000AC" w14:textId="77777777" w:rsidR="00985B1F" w:rsidRPr="00F2449F" w:rsidRDefault="00717D17" w:rsidP="007B62B8">
            <w:pPr>
              <w:jc w:val="both"/>
              <w:rPr>
                <w:color w:val="000000"/>
                <w:sz w:val="18"/>
                <w:szCs w:val="18"/>
                <w:lang w:val="en-US"/>
              </w:rPr>
            </w:pPr>
            <w:r w:rsidRPr="00F2449F">
              <w:rPr>
                <w:color w:val="000000"/>
                <w:sz w:val="18"/>
                <w:szCs w:val="18"/>
                <w:lang w:val="en-US"/>
              </w:rPr>
              <w:t>Marketing Director</w:t>
            </w:r>
          </w:p>
        </w:tc>
        <w:tc>
          <w:tcPr>
            <w:tcW w:w="1276" w:type="dxa"/>
            <w:vAlign w:val="center"/>
          </w:tcPr>
          <w:p w14:paraId="000000AD"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0AE" w14:textId="77777777" w:rsidR="00985B1F" w:rsidRPr="00F2449F" w:rsidRDefault="00717D17" w:rsidP="007B62B8">
            <w:pPr>
              <w:jc w:val="both"/>
              <w:rPr>
                <w:color w:val="000000"/>
                <w:sz w:val="18"/>
                <w:szCs w:val="18"/>
                <w:lang w:val="en-US"/>
              </w:rPr>
            </w:pPr>
            <w:r w:rsidRPr="00F2449F">
              <w:rPr>
                <w:color w:val="000000"/>
                <w:sz w:val="18"/>
                <w:szCs w:val="18"/>
                <w:lang w:val="en-US"/>
              </w:rPr>
              <w:t>21</w:t>
            </w:r>
          </w:p>
        </w:tc>
        <w:tc>
          <w:tcPr>
            <w:tcW w:w="4053" w:type="dxa"/>
            <w:vAlign w:val="center"/>
          </w:tcPr>
          <w:p w14:paraId="000000AF" w14:textId="77777777" w:rsidR="00985B1F" w:rsidRPr="00F2449F" w:rsidRDefault="00717D17" w:rsidP="007B62B8">
            <w:pPr>
              <w:jc w:val="both"/>
              <w:rPr>
                <w:color w:val="000000"/>
                <w:sz w:val="18"/>
                <w:szCs w:val="18"/>
                <w:lang w:val="en-US"/>
              </w:rPr>
            </w:pPr>
            <w:r w:rsidRPr="00F2449F">
              <w:rPr>
                <w:color w:val="000000"/>
                <w:sz w:val="18"/>
                <w:szCs w:val="18"/>
                <w:lang w:val="en-US"/>
              </w:rPr>
              <w:t>Food and Beverage</w:t>
            </w:r>
          </w:p>
        </w:tc>
      </w:tr>
      <w:tr w:rsidR="00985B1F" w:rsidRPr="00F2449F" w14:paraId="7667DA58" w14:textId="77777777">
        <w:tc>
          <w:tcPr>
            <w:tcW w:w="420" w:type="dxa"/>
            <w:tcBorders>
              <w:right w:val="single" w:sz="4" w:space="0" w:color="000000"/>
            </w:tcBorders>
            <w:vAlign w:val="center"/>
          </w:tcPr>
          <w:p w14:paraId="000000B0" w14:textId="77777777" w:rsidR="00985B1F" w:rsidRPr="00F2449F" w:rsidRDefault="00717D17" w:rsidP="007B62B8">
            <w:pPr>
              <w:jc w:val="both"/>
              <w:rPr>
                <w:color w:val="000000"/>
                <w:sz w:val="18"/>
                <w:szCs w:val="18"/>
                <w:lang w:val="en-US"/>
              </w:rPr>
            </w:pPr>
            <w:r w:rsidRPr="00F2449F">
              <w:rPr>
                <w:color w:val="000000"/>
                <w:sz w:val="18"/>
                <w:szCs w:val="18"/>
                <w:lang w:val="en-US"/>
              </w:rPr>
              <w:t>6</w:t>
            </w:r>
          </w:p>
        </w:tc>
        <w:tc>
          <w:tcPr>
            <w:tcW w:w="2127" w:type="dxa"/>
            <w:tcBorders>
              <w:left w:val="single" w:sz="4" w:space="0" w:color="000000"/>
            </w:tcBorders>
            <w:vAlign w:val="center"/>
          </w:tcPr>
          <w:p w14:paraId="000000B1" w14:textId="77777777" w:rsidR="00985B1F" w:rsidRPr="00F2449F" w:rsidRDefault="00717D17" w:rsidP="007B62B8">
            <w:pPr>
              <w:jc w:val="both"/>
              <w:rPr>
                <w:color w:val="000000"/>
                <w:sz w:val="18"/>
                <w:szCs w:val="18"/>
                <w:lang w:val="en-US"/>
              </w:rPr>
            </w:pPr>
            <w:r w:rsidRPr="00F2449F">
              <w:rPr>
                <w:color w:val="000000"/>
                <w:sz w:val="18"/>
                <w:szCs w:val="18"/>
                <w:lang w:val="en-US"/>
              </w:rPr>
              <w:t>Branch Manager</w:t>
            </w:r>
          </w:p>
        </w:tc>
        <w:tc>
          <w:tcPr>
            <w:tcW w:w="1276" w:type="dxa"/>
            <w:vAlign w:val="center"/>
          </w:tcPr>
          <w:p w14:paraId="000000B2"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0B3" w14:textId="77777777" w:rsidR="00985B1F" w:rsidRPr="00F2449F" w:rsidRDefault="00717D17" w:rsidP="007B62B8">
            <w:pPr>
              <w:jc w:val="both"/>
              <w:rPr>
                <w:color w:val="000000"/>
                <w:sz w:val="18"/>
                <w:szCs w:val="18"/>
                <w:lang w:val="en-US"/>
              </w:rPr>
            </w:pPr>
            <w:r w:rsidRPr="00F2449F">
              <w:rPr>
                <w:color w:val="000000"/>
                <w:sz w:val="18"/>
                <w:szCs w:val="18"/>
                <w:lang w:val="en-US"/>
              </w:rPr>
              <w:t>7</w:t>
            </w:r>
          </w:p>
        </w:tc>
        <w:tc>
          <w:tcPr>
            <w:tcW w:w="4053" w:type="dxa"/>
            <w:vAlign w:val="center"/>
          </w:tcPr>
          <w:p w14:paraId="000000B4" w14:textId="77777777" w:rsidR="00985B1F" w:rsidRPr="00F2449F" w:rsidRDefault="00717D17" w:rsidP="007B62B8">
            <w:pPr>
              <w:jc w:val="both"/>
              <w:rPr>
                <w:color w:val="000000"/>
                <w:sz w:val="18"/>
                <w:szCs w:val="18"/>
                <w:lang w:val="en-US"/>
              </w:rPr>
            </w:pPr>
            <w:r w:rsidRPr="00F2449F">
              <w:rPr>
                <w:color w:val="000000"/>
                <w:sz w:val="18"/>
                <w:szCs w:val="18"/>
                <w:lang w:val="en-US"/>
              </w:rPr>
              <w:t>Banking</w:t>
            </w:r>
          </w:p>
        </w:tc>
      </w:tr>
      <w:tr w:rsidR="00985B1F" w:rsidRPr="00F2449F" w14:paraId="09304A33" w14:textId="77777777">
        <w:tc>
          <w:tcPr>
            <w:tcW w:w="420" w:type="dxa"/>
            <w:tcBorders>
              <w:right w:val="single" w:sz="4" w:space="0" w:color="000000"/>
            </w:tcBorders>
            <w:vAlign w:val="center"/>
          </w:tcPr>
          <w:p w14:paraId="000000B5" w14:textId="77777777" w:rsidR="00985B1F" w:rsidRPr="00F2449F" w:rsidRDefault="00717D17" w:rsidP="007B62B8">
            <w:pPr>
              <w:jc w:val="both"/>
              <w:rPr>
                <w:color w:val="000000"/>
                <w:sz w:val="18"/>
                <w:szCs w:val="18"/>
                <w:lang w:val="en-US"/>
              </w:rPr>
            </w:pPr>
            <w:r w:rsidRPr="00F2449F">
              <w:rPr>
                <w:color w:val="000000"/>
                <w:sz w:val="18"/>
                <w:szCs w:val="18"/>
                <w:lang w:val="en-US"/>
              </w:rPr>
              <w:t>7</w:t>
            </w:r>
          </w:p>
        </w:tc>
        <w:tc>
          <w:tcPr>
            <w:tcW w:w="2127" w:type="dxa"/>
            <w:tcBorders>
              <w:left w:val="single" w:sz="4" w:space="0" w:color="000000"/>
            </w:tcBorders>
            <w:vAlign w:val="center"/>
          </w:tcPr>
          <w:p w14:paraId="000000B6" w14:textId="77777777" w:rsidR="00985B1F" w:rsidRPr="00F2449F" w:rsidRDefault="00717D17" w:rsidP="007B62B8">
            <w:pPr>
              <w:jc w:val="both"/>
              <w:rPr>
                <w:color w:val="000000"/>
                <w:sz w:val="18"/>
                <w:szCs w:val="18"/>
                <w:lang w:val="en-US"/>
              </w:rPr>
            </w:pPr>
            <w:r w:rsidRPr="00F2449F">
              <w:rPr>
                <w:color w:val="000000"/>
                <w:sz w:val="18"/>
                <w:szCs w:val="18"/>
                <w:lang w:val="en-US"/>
              </w:rPr>
              <w:t>Marketing Manager</w:t>
            </w:r>
          </w:p>
        </w:tc>
        <w:tc>
          <w:tcPr>
            <w:tcW w:w="1276" w:type="dxa"/>
            <w:vAlign w:val="center"/>
          </w:tcPr>
          <w:p w14:paraId="000000B7"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0B8" w14:textId="77777777" w:rsidR="00985B1F" w:rsidRPr="00F2449F" w:rsidRDefault="00717D17" w:rsidP="007B62B8">
            <w:pPr>
              <w:jc w:val="both"/>
              <w:rPr>
                <w:color w:val="000000"/>
                <w:sz w:val="18"/>
                <w:szCs w:val="18"/>
                <w:lang w:val="en-US"/>
              </w:rPr>
            </w:pPr>
            <w:r w:rsidRPr="00F2449F">
              <w:rPr>
                <w:color w:val="000000"/>
                <w:sz w:val="18"/>
                <w:szCs w:val="18"/>
                <w:lang w:val="en-US"/>
              </w:rPr>
              <w:t>5</w:t>
            </w:r>
          </w:p>
        </w:tc>
        <w:tc>
          <w:tcPr>
            <w:tcW w:w="4053" w:type="dxa"/>
            <w:vAlign w:val="center"/>
          </w:tcPr>
          <w:p w14:paraId="000000B9" w14:textId="77777777" w:rsidR="00985B1F" w:rsidRPr="00F2449F" w:rsidRDefault="00717D17" w:rsidP="007B62B8">
            <w:pPr>
              <w:jc w:val="both"/>
              <w:rPr>
                <w:color w:val="000000"/>
                <w:sz w:val="18"/>
                <w:szCs w:val="18"/>
                <w:lang w:val="en-US"/>
              </w:rPr>
            </w:pPr>
            <w:r w:rsidRPr="00F2449F">
              <w:rPr>
                <w:color w:val="000000"/>
                <w:sz w:val="18"/>
                <w:szCs w:val="18"/>
                <w:lang w:val="en-US"/>
              </w:rPr>
              <w:t>Management Consulting</w:t>
            </w:r>
          </w:p>
        </w:tc>
      </w:tr>
      <w:tr w:rsidR="00985B1F" w:rsidRPr="00F2449F" w14:paraId="1C9B2D1E" w14:textId="77777777">
        <w:tc>
          <w:tcPr>
            <w:tcW w:w="420" w:type="dxa"/>
            <w:tcBorders>
              <w:right w:val="single" w:sz="4" w:space="0" w:color="000000"/>
            </w:tcBorders>
            <w:vAlign w:val="center"/>
          </w:tcPr>
          <w:p w14:paraId="000000BA" w14:textId="77777777" w:rsidR="00985B1F" w:rsidRPr="00F2449F" w:rsidRDefault="00717D17" w:rsidP="007B62B8">
            <w:pPr>
              <w:jc w:val="both"/>
              <w:rPr>
                <w:color w:val="000000"/>
                <w:sz w:val="18"/>
                <w:szCs w:val="18"/>
                <w:lang w:val="en-US"/>
              </w:rPr>
            </w:pPr>
            <w:r w:rsidRPr="00F2449F">
              <w:rPr>
                <w:color w:val="000000"/>
                <w:sz w:val="18"/>
                <w:szCs w:val="18"/>
                <w:lang w:val="en-US"/>
              </w:rPr>
              <w:t>8</w:t>
            </w:r>
          </w:p>
        </w:tc>
        <w:tc>
          <w:tcPr>
            <w:tcW w:w="2127" w:type="dxa"/>
            <w:tcBorders>
              <w:left w:val="single" w:sz="4" w:space="0" w:color="000000"/>
            </w:tcBorders>
            <w:vAlign w:val="center"/>
          </w:tcPr>
          <w:p w14:paraId="000000BB" w14:textId="77777777" w:rsidR="00985B1F" w:rsidRPr="00F2449F" w:rsidRDefault="00717D17" w:rsidP="007B62B8">
            <w:pPr>
              <w:jc w:val="both"/>
              <w:rPr>
                <w:color w:val="000000"/>
                <w:sz w:val="18"/>
                <w:szCs w:val="18"/>
                <w:lang w:val="en-US"/>
              </w:rPr>
            </w:pPr>
            <w:r w:rsidRPr="00F2449F">
              <w:rPr>
                <w:color w:val="000000"/>
                <w:sz w:val="18"/>
                <w:szCs w:val="18"/>
                <w:lang w:val="en-US"/>
              </w:rPr>
              <w:t>Digital Marketing Manager</w:t>
            </w:r>
          </w:p>
        </w:tc>
        <w:tc>
          <w:tcPr>
            <w:tcW w:w="1276" w:type="dxa"/>
            <w:vAlign w:val="center"/>
          </w:tcPr>
          <w:p w14:paraId="000000BC"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0BD" w14:textId="77777777" w:rsidR="00985B1F" w:rsidRPr="00F2449F" w:rsidRDefault="00717D17" w:rsidP="007B62B8">
            <w:pPr>
              <w:jc w:val="both"/>
              <w:rPr>
                <w:color w:val="000000"/>
                <w:sz w:val="18"/>
                <w:szCs w:val="18"/>
                <w:lang w:val="en-US"/>
              </w:rPr>
            </w:pPr>
            <w:r w:rsidRPr="00F2449F">
              <w:rPr>
                <w:color w:val="000000"/>
                <w:sz w:val="18"/>
                <w:szCs w:val="18"/>
                <w:lang w:val="en-US"/>
              </w:rPr>
              <w:t>6</w:t>
            </w:r>
          </w:p>
        </w:tc>
        <w:tc>
          <w:tcPr>
            <w:tcW w:w="4053" w:type="dxa"/>
            <w:vAlign w:val="center"/>
          </w:tcPr>
          <w:p w14:paraId="000000BE" w14:textId="77777777" w:rsidR="00985B1F" w:rsidRPr="00F2449F" w:rsidRDefault="00717D17" w:rsidP="007B62B8">
            <w:pPr>
              <w:jc w:val="both"/>
              <w:rPr>
                <w:color w:val="000000"/>
                <w:sz w:val="18"/>
                <w:szCs w:val="18"/>
                <w:lang w:val="en-US"/>
              </w:rPr>
            </w:pPr>
            <w:r w:rsidRPr="00F2449F">
              <w:rPr>
                <w:color w:val="000000"/>
                <w:sz w:val="18"/>
                <w:szCs w:val="18"/>
                <w:lang w:val="en-US"/>
              </w:rPr>
              <w:t>IT Services</w:t>
            </w:r>
          </w:p>
        </w:tc>
      </w:tr>
      <w:tr w:rsidR="00985B1F" w:rsidRPr="00F2449F" w14:paraId="081EA048" w14:textId="77777777">
        <w:tc>
          <w:tcPr>
            <w:tcW w:w="420" w:type="dxa"/>
            <w:tcBorders>
              <w:right w:val="single" w:sz="4" w:space="0" w:color="000000"/>
            </w:tcBorders>
            <w:vAlign w:val="center"/>
          </w:tcPr>
          <w:p w14:paraId="000000BF" w14:textId="77777777" w:rsidR="00985B1F" w:rsidRPr="00F2449F" w:rsidRDefault="00717D17" w:rsidP="007B62B8">
            <w:pPr>
              <w:jc w:val="both"/>
              <w:rPr>
                <w:color w:val="000000"/>
                <w:sz w:val="18"/>
                <w:szCs w:val="18"/>
                <w:lang w:val="en-US"/>
              </w:rPr>
            </w:pPr>
            <w:r w:rsidRPr="00F2449F">
              <w:rPr>
                <w:color w:val="000000"/>
                <w:sz w:val="18"/>
                <w:szCs w:val="18"/>
                <w:lang w:val="en-US"/>
              </w:rPr>
              <w:t>9</w:t>
            </w:r>
          </w:p>
        </w:tc>
        <w:tc>
          <w:tcPr>
            <w:tcW w:w="2127" w:type="dxa"/>
            <w:tcBorders>
              <w:left w:val="single" w:sz="4" w:space="0" w:color="000000"/>
            </w:tcBorders>
            <w:vAlign w:val="center"/>
          </w:tcPr>
          <w:p w14:paraId="000000C0" w14:textId="77777777" w:rsidR="00985B1F" w:rsidRPr="00F2449F" w:rsidRDefault="00717D17" w:rsidP="007B62B8">
            <w:pPr>
              <w:jc w:val="both"/>
              <w:rPr>
                <w:color w:val="000000"/>
                <w:sz w:val="18"/>
                <w:szCs w:val="18"/>
                <w:lang w:val="en-US"/>
              </w:rPr>
            </w:pPr>
            <w:r w:rsidRPr="00F2449F">
              <w:rPr>
                <w:color w:val="000000"/>
                <w:sz w:val="18"/>
                <w:szCs w:val="18"/>
                <w:lang w:val="en-US"/>
              </w:rPr>
              <w:t>Export Manager</w:t>
            </w:r>
          </w:p>
        </w:tc>
        <w:tc>
          <w:tcPr>
            <w:tcW w:w="1276" w:type="dxa"/>
            <w:vAlign w:val="center"/>
          </w:tcPr>
          <w:p w14:paraId="000000C1"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0C2" w14:textId="77777777" w:rsidR="00985B1F" w:rsidRPr="00F2449F" w:rsidRDefault="00717D17" w:rsidP="007B62B8">
            <w:pPr>
              <w:jc w:val="both"/>
              <w:rPr>
                <w:color w:val="000000"/>
                <w:sz w:val="18"/>
                <w:szCs w:val="18"/>
                <w:lang w:val="en-US"/>
              </w:rPr>
            </w:pPr>
            <w:r w:rsidRPr="00F2449F">
              <w:rPr>
                <w:color w:val="000000"/>
                <w:sz w:val="18"/>
                <w:szCs w:val="18"/>
                <w:lang w:val="en-US"/>
              </w:rPr>
              <w:t>11</w:t>
            </w:r>
          </w:p>
        </w:tc>
        <w:tc>
          <w:tcPr>
            <w:tcW w:w="4053" w:type="dxa"/>
            <w:vAlign w:val="center"/>
          </w:tcPr>
          <w:p w14:paraId="000000C3" w14:textId="77777777" w:rsidR="00985B1F" w:rsidRPr="00F2449F" w:rsidRDefault="00717D17" w:rsidP="007B62B8">
            <w:pPr>
              <w:jc w:val="both"/>
              <w:rPr>
                <w:color w:val="000000"/>
                <w:sz w:val="18"/>
                <w:szCs w:val="18"/>
                <w:lang w:val="en-US"/>
              </w:rPr>
            </w:pPr>
            <w:r w:rsidRPr="00F2449F">
              <w:rPr>
                <w:color w:val="000000"/>
                <w:sz w:val="18"/>
                <w:szCs w:val="18"/>
                <w:lang w:val="en-US"/>
              </w:rPr>
              <w:t>Food and Beverage</w:t>
            </w:r>
          </w:p>
        </w:tc>
      </w:tr>
      <w:tr w:rsidR="00985B1F" w:rsidRPr="00F2449F" w14:paraId="19F7AF78" w14:textId="77777777">
        <w:tc>
          <w:tcPr>
            <w:tcW w:w="420" w:type="dxa"/>
            <w:tcBorders>
              <w:right w:val="single" w:sz="4" w:space="0" w:color="000000"/>
            </w:tcBorders>
            <w:vAlign w:val="center"/>
          </w:tcPr>
          <w:p w14:paraId="000000C4" w14:textId="77777777" w:rsidR="00985B1F" w:rsidRPr="00F2449F" w:rsidRDefault="00717D17" w:rsidP="007B62B8">
            <w:pPr>
              <w:jc w:val="both"/>
              <w:rPr>
                <w:color w:val="000000"/>
                <w:sz w:val="18"/>
                <w:szCs w:val="18"/>
                <w:lang w:val="en-US"/>
              </w:rPr>
            </w:pPr>
            <w:r w:rsidRPr="00F2449F">
              <w:rPr>
                <w:color w:val="000000"/>
                <w:sz w:val="18"/>
                <w:szCs w:val="18"/>
                <w:lang w:val="en-US"/>
              </w:rPr>
              <w:t>10</w:t>
            </w:r>
          </w:p>
        </w:tc>
        <w:tc>
          <w:tcPr>
            <w:tcW w:w="2127" w:type="dxa"/>
            <w:tcBorders>
              <w:left w:val="single" w:sz="4" w:space="0" w:color="000000"/>
            </w:tcBorders>
            <w:vAlign w:val="center"/>
          </w:tcPr>
          <w:p w14:paraId="000000C5" w14:textId="77777777" w:rsidR="00985B1F" w:rsidRPr="00F2449F" w:rsidRDefault="00717D17" w:rsidP="007B62B8">
            <w:pPr>
              <w:jc w:val="both"/>
              <w:rPr>
                <w:color w:val="000000"/>
                <w:sz w:val="18"/>
                <w:szCs w:val="18"/>
                <w:lang w:val="en-US"/>
              </w:rPr>
            </w:pPr>
            <w:r w:rsidRPr="00F2449F">
              <w:rPr>
                <w:color w:val="000000"/>
                <w:sz w:val="18"/>
                <w:szCs w:val="18"/>
                <w:lang w:val="en-US"/>
              </w:rPr>
              <w:t>Import Manager</w:t>
            </w:r>
          </w:p>
        </w:tc>
        <w:tc>
          <w:tcPr>
            <w:tcW w:w="1276" w:type="dxa"/>
            <w:vAlign w:val="center"/>
          </w:tcPr>
          <w:p w14:paraId="000000C6"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0C7" w14:textId="77777777" w:rsidR="00985B1F" w:rsidRPr="00F2449F" w:rsidRDefault="00717D17" w:rsidP="007B62B8">
            <w:pPr>
              <w:jc w:val="both"/>
              <w:rPr>
                <w:color w:val="000000"/>
                <w:sz w:val="18"/>
                <w:szCs w:val="18"/>
                <w:lang w:val="en-US"/>
              </w:rPr>
            </w:pPr>
            <w:r w:rsidRPr="00F2449F">
              <w:rPr>
                <w:color w:val="000000"/>
                <w:sz w:val="18"/>
                <w:szCs w:val="18"/>
                <w:lang w:val="en-US"/>
              </w:rPr>
              <w:t>12</w:t>
            </w:r>
          </w:p>
        </w:tc>
        <w:tc>
          <w:tcPr>
            <w:tcW w:w="4053" w:type="dxa"/>
            <w:vAlign w:val="center"/>
          </w:tcPr>
          <w:p w14:paraId="000000C8" w14:textId="77777777" w:rsidR="00985B1F" w:rsidRPr="00F2449F" w:rsidRDefault="00717D17" w:rsidP="007B62B8">
            <w:pPr>
              <w:jc w:val="both"/>
              <w:rPr>
                <w:color w:val="000000"/>
                <w:sz w:val="18"/>
                <w:szCs w:val="18"/>
                <w:lang w:val="en-US"/>
              </w:rPr>
            </w:pPr>
            <w:r w:rsidRPr="00F2449F">
              <w:rPr>
                <w:color w:val="000000"/>
                <w:sz w:val="18"/>
                <w:szCs w:val="18"/>
                <w:lang w:val="en-US"/>
              </w:rPr>
              <w:t>Manufacturing</w:t>
            </w:r>
          </w:p>
        </w:tc>
      </w:tr>
      <w:tr w:rsidR="00985B1F" w:rsidRPr="00F2449F" w14:paraId="4E1342BE" w14:textId="77777777">
        <w:tc>
          <w:tcPr>
            <w:tcW w:w="420" w:type="dxa"/>
            <w:tcBorders>
              <w:right w:val="single" w:sz="4" w:space="0" w:color="000000"/>
            </w:tcBorders>
            <w:vAlign w:val="center"/>
          </w:tcPr>
          <w:p w14:paraId="000000C9" w14:textId="77777777" w:rsidR="00985B1F" w:rsidRPr="00F2449F" w:rsidRDefault="00717D17" w:rsidP="007B62B8">
            <w:pPr>
              <w:jc w:val="both"/>
              <w:rPr>
                <w:color w:val="000000"/>
                <w:sz w:val="18"/>
                <w:szCs w:val="18"/>
                <w:lang w:val="en-US"/>
              </w:rPr>
            </w:pPr>
            <w:r w:rsidRPr="00F2449F">
              <w:rPr>
                <w:color w:val="000000"/>
                <w:sz w:val="18"/>
                <w:szCs w:val="18"/>
                <w:lang w:val="en-US"/>
              </w:rPr>
              <w:t>11</w:t>
            </w:r>
          </w:p>
        </w:tc>
        <w:tc>
          <w:tcPr>
            <w:tcW w:w="2127" w:type="dxa"/>
            <w:tcBorders>
              <w:left w:val="single" w:sz="4" w:space="0" w:color="000000"/>
            </w:tcBorders>
            <w:vAlign w:val="center"/>
          </w:tcPr>
          <w:p w14:paraId="000000CA" w14:textId="77777777" w:rsidR="00985B1F" w:rsidRPr="00F2449F" w:rsidRDefault="00717D17" w:rsidP="007B62B8">
            <w:pPr>
              <w:jc w:val="both"/>
              <w:rPr>
                <w:color w:val="000000"/>
                <w:sz w:val="18"/>
                <w:szCs w:val="18"/>
                <w:lang w:val="en-US"/>
              </w:rPr>
            </w:pPr>
            <w:r w:rsidRPr="00F2449F">
              <w:rPr>
                <w:color w:val="000000"/>
                <w:sz w:val="18"/>
                <w:szCs w:val="18"/>
                <w:lang w:val="en-US"/>
              </w:rPr>
              <w:t>CEO</w:t>
            </w:r>
          </w:p>
        </w:tc>
        <w:tc>
          <w:tcPr>
            <w:tcW w:w="1276" w:type="dxa"/>
            <w:vAlign w:val="center"/>
          </w:tcPr>
          <w:p w14:paraId="000000CB"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0CC" w14:textId="77777777" w:rsidR="00985B1F" w:rsidRPr="00F2449F" w:rsidRDefault="00717D17" w:rsidP="007B62B8">
            <w:pPr>
              <w:jc w:val="both"/>
              <w:rPr>
                <w:color w:val="000000"/>
                <w:sz w:val="18"/>
                <w:szCs w:val="18"/>
                <w:lang w:val="en-US"/>
              </w:rPr>
            </w:pPr>
            <w:r w:rsidRPr="00F2449F">
              <w:rPr>
                <w:color w:val="000000"/>
                <w:sz w:val="18"/>
                <w:szCs w:val="18"/>
                <w:lang w:val="en-US"/>
              </w:rPr>
              <w:t>30</w:t>
            </w:r>
          </w:p>
        </w:tc>
        <w:tc>
          <w:tcPr>
            <w:tcW w:w="4053" w:type="dxa"/>
            <w:vAlign w:val="center"/>
          </w:tcPr>
          <w:p w14:paraId="000000CD" w14:textId="77777777" w:rsidR="00985B1F" w:rsidRPr="00F2449F" w:rsidRDefault="00717D17" w:rsidP="007B62B8">
            <w:pPr>
              <w:jc w:val="both"/>
              <w:rPr>
                <w:color w:val="000000"/>
                <w:sz w:val="18"/>
                <w:szCs w:val="18"/>
                <w:lang w:val="en-US"/>
              </w:rPr>
            </w:pPr>
            <w:r w:rsidRPr="00F2449F">
              <w:rPr>
                <w:color w:val="000000"/>
                <w:sz w:val="18"/>
                <w:szCs w:val="18"/>
                <w:lang w:val="en-US"/>
              </w:rPr>
              <w:t>Manufacturing</w:t>
            </w:r>
          </w:p>
        </w:tc>
      </w:tr>
      <w:tr w:rsidR="00985B1F" w:rsidRPr="00EA736D" w14:paraId="53F45D0C" w14:textId="77777777">
        <w:tc>
          <w:tcPr>
            <w:tcW w:w="420" w:type="dxa"/>
            <w:tcBorders>
              <w:right w:val="single" w:sz="4" w:space="0" w:color="000000"/>
            </w:tcBorders>
            <w:vAlign w:val="center"/>
          </w:tcPr>
          <w:p w14:paraId="000000CE" w14:textId="77777777" w:rsidR="00985B1F" w:rsidRPr="00F2449F" w:rsidRDefault="00717D17" w:rsidP="007B62B8">
            <w:pPr>
              <w:jc w:val="both"/>
              <w:rPr>
                <w:color w:val="000000"/>
                <w:sz w:val="18"/>
                <w:szCs w:val="18"/>
                <w:lang w:val="en-US"/>
              </w:rPr>
            </w:pPr>
            <w:r w:rsidRPr="00F2449F">
              <w:rPr>
                <w:color w:val="000000"/>
                <w:sz w:val="18"/>
                <w:szCs w:val="18"/>
                <w:lang w:val="en-US"/>
              </w:rPr>
              <w:t>12</w:t>
            </w:r>
          </w:p>
        </w:tc>
        <w:tc>
          <w:tcPr>
            <w:tcW w:w="2127" w:type="dxa"/>
            <w:tcBorders>
              <w:left w:val="single" w:sz="4" w:space="0" w:color="000000"/>
            </w:tcBorders>
            <w:vAlign w:val="center"/>
          </w:tcPr>
          <w:p w14:paraId="000000CF" w14:textId="77777777" w:rsidR="00985B1F" w:rsidRPr="00F2449F" w:rsidRDefault="00717D17" w:rsidP="007B62B8">
            <w:pPr>
              <w:jc w:val="both"/>
              <w:rPr>
                <w:color w:val="000000"/>
                <w:sz w:val="18"/>
                <w:szCs w:val="18"/>
                <w:lang w:val="en-US"/>
              </w:rPr>
            </w:pPr>
            <w:r w:rsidRPr="00F2449F">
              <w:rPr>
                <w:color w:val="000000"/>
                <w:sz w:val="18"/>
                <w:szCs w:val="18"/>
                <w:lang w:val="en-US"/>
              </w:rPr>
              <w:t>Sales Manager</w:t>
            </w:r>
          </w:p>
        </w:tc>
        <w:tc>
          <w:tcPr>
            <w:tcW w:w="1276" w:type="dxa"/>
            <w:vAlign w:val="center"/>
          </w:tcPr>
          <w:p w14:paraId="000000D0"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0D1" w14:textId="77777777" w:rsidR="00985B1F" w:rsidRPr="00F2449F" w:rsidRDefault="00717D17" w:rsidP="007B62B8">
            <w:pPr>
              <w:jc w:val="both"/>
              <w:rPr>
                <w:color w:val="000000"/>
                <w:sz w:val="18"/>
                <w:szCs w:val="18"/>
                <w:lang w:val="en-US"/>
              </w:rPr>
            </w:pPr>
            <w:r w:rsidRPr="00F2449F">
              <w:rPr>
                <w:color w:val="000000"/>
                <w:sz w:val="18"/>
                <w:szCs w:val="18"/>
                <w:lang w:val="en-US"/>
              </w:rPr>
              <w:t>8</w:t>
            </w:r>
          </w:p>
        </w:tc>
        <w:tc>
          <w:tcPr>
            <w:tcW w:w="4053" w:type="dxa"/>
            <w:vAlign w:val="center"/>
          </w:tcPr>
          <w:p w14:paraId="000000D2" w14:textId="77777777" w:rsidR="00985B1F" w:rsidRPr="00F2449F" w:rsidRDefault="00717D17" w:rsidP="007B62B8">
            <w:pPr>
              <w:jc w:val="both"/>
              <w:rPr>
                <w:color w:val="000000"/>
                <w:sz w:val="18"/>
                <w:szCs w:val="18"/>
                <w:lang w:val="en-US"/>
              </w:rPr>
            </w:pPr>
            <w:r w:rsidRPr="00F2449F">
              <w:rPr>
                <w:color w:val="000000"/>
                <w:sz w:val="18"/>
                <w:szCs w:val="18"/>
                <w:lang w:val="en-US"/>
              </w:rPr>
              <w:t>Life Sciences and Healthcare (medical devices)</w:t>
            </w:r>
          </w:p>
        </w:tc>
      </w:tr>
      <w:tr w:rsidR="00985B1F" w:rsidRPr="00F2449F" w14:paraId="60A27005" w14:textId="77777777">
        <w:tc>
          <w:tcPr>
            <w:tcW w:w="420" w:type="dxa"/>
            <w:tcBorders>
              <w:right w:val="single" w:sz="4" w:space="0" w:color="000000"/>
            </w:tcBorders>
            <w:vAlign w:val="center"/>
          </w:tcPr>
          <w:p w14:paraId="000000D3" w14:textId="77777777" w:rsidR="00985B1F" w:rsidRPr="00F2449F" w:rsidRDefault="00717D17" w:rsidP="007B62B8">
            <w:pPr>
              <w:jc w:val="both"/>
              <w:rPr>
                <w:color w:val="000000"/>
                <w:sz w:val="18"/>
                <w:szCs w:val="18"/>
                <w:lang w:val="en-US"/>
              </w:rPr>
            </w:pPr>
            <w:r w:rsidRPr="00F2449F">
              <w:rPr>
                <w:color w:val="000000"/>
                <w:sz w:val="18"/>
                <w:szCs w:val="18"/>
                <w:lang w:val="en-US"/>
              </w:rPr>
              <w:t>13</w:t>
            </w:r>
          </w:p>
        </w:tc>
        <w:tc>
          <w:tcPr>
            <w:tcW w:w="2127" w:type="dxa"/>
            <w:tcBorders>
              <w:left w:val="single" w:sz="4" w:space="0" w:color="000000"/>
            </w:tcBorders>
            <w:vAlign w:val="center"/>
          </w:tcPr>
          <w:p w14:paraId="000000D4" w14:textId="77777777" w:rsidR="00985B1F" w:rsidRPr="00F2449F" w:rsidRDefault="00717D17" w:rsidP="007B62B8">
            <w:pPr>
              <w:jc w:val="both"/>
              <w:rPr>
                <w:color w:val="000000"/>
                <w:sz w:val="18"/>
                <w:szCs w:val="18"/>
                <w:lang w:val="en-US"/>
              </w:rPr>
            </w:pPr>
            <w:r w:rsidRPr="00F2449F">
              <w:rPr>
                <w:color w:val="000000"/>
                <w:sz w:val="18"/>
                <w:szCs w:val="18"/>
                <w:lang w:val="en-US"/>
              </w:rPr>
              <w:t>Marketing Manager</w:t>
            </w:r>
          </w:p>
        </w:tc>
        <w:tc>
          <w:tcPr>
            <w:tcW w:w="1276" w:type="dxa"/>
            <w:vAlign w:val="center"/>
          </w:tcPr>
          <w:p w14:paraId="000000D5"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0D6" w14:textId="77777777" w:rsidR="00985B1F" w:rsidRPr="00F2449F" w:rsidRDefault="00717D17" w:rsidP="007B62B8">
            <w:pPr>
              <w:jc w:val="both"/>
              <w:rPr>
                <w:color w:val="000000"/>
                <w:sz w:val="18"/>
                <w:szCs w:val="18"/>
                <w:lang w:val="en-US"/>
              </w:rPr>
            </w:pPr>
            <w:r w:rsidRPr="00F2449F">
              <w:rPr>
                <w:color w:val="000000"/>
                <w:sz w:val="18"/>
                <w:szCs w:val="18"/>
                <w:lang w:val="en-US"/>
              </w:rPr>
              <w:t>9</w:t>
            </w:r>
          </w:p>
        </w:tc>
        <w:tc>
          <w:tcPr>
            <w:tcW w:w="4053" w:type="dxa"/>
            <w:vAlign w:val="center"/>
          </w:tcPr>
          <w:p w14:paraId="000000D7" w14:textId="77777777" w:rsidR="00985B1F" w:rsidRPr="00F2449F" w:rsidRDefault="00717D17" w:rsidP="007B62B8">
            <w:pPr>
              <w:jc w:val="both"/>
              <w:rPr>
                <w:color w:val="000000"/>
                <w:sz w:val="18"/>
                <w:szCs w:val="18"/>
                <w:lang w:val="en-US"/>
              </w:rPr>
            </w:pPr>
            <w:r w:rsidRPr="00F2449F">
              <w:rPr>
                <w:color w:val="000000"/>
                <w:sz w:val="18"/>
                <w:szCs w:val="18"/>
                <w:lang w:val="en-US"/>
              </w:rPr>
              <w:t>Wellness (fitness equipment)</w:t>
            </w:r>
          </w:p>
        </w:tc>
      </w:tr>
      <w:tr w:rsidR="00985B1F" w:rsidRPr="00F2449F" w14:paraId="52B067C7" w14:textId="77777777">
        <w:tc>
          <w:tcPr>
            <w:tcW w:w="420" w:type="dxa"/>
            <w:tcBorders>
              <w:right w:val="single" w:sz="4" w:space="0" w:color="000000"/>
            </w:tcBorders>
            <w:vAlign w:val="center"/>
          </w:tcPr>
          <w:p w14:paraId="000000D8" w14:textId="77777777" w:rsidR="00985B1F" w:rsidRPr="00F2449F" w:rsidRDefault="00717D17" w:rsidP="007B62B8">
            <w:pPr>
              <w:jc w:val="both"/>
              <w:rPr>
                <w:color w:val="000000"/>
                <w:sz w:val="18"/>
                <w:szCs w:val="18"/>
                <w:lang w:val="en-US"/>
              </w:rPr>
            </w:pPr>
            <w:r w:rsidRPr="00F2449F">
              <w:rPr>
                <w:color w:val="000000"/>
                <w:sz w:val="18"/>
                <w:szCs w:val="18"/>
                <w:lang w:val="en-US"/>
              </w:rPr>
              <w:t>14</w:t>
            </w:r>
          </w:p>
        </w:tc>
        <w:tc>
          <w:tcPr>
            <w:tcW w:w="2127" w:type="dxa"/>
            <w:tcBorders>
              <w:left w:val="single" w:sz="4" w:space="0" w:color="000000"/>
            </w:tcBorders>
            <w:vAlign w:val="center"/>
          </w:tcPr>
          <w:p w14:paraId="000000D9" w14:textId="77777777" w:rsidR="00985B1F" w:rsidRPr="00F2449F" w:rsidRDefault="00717D17" w:rsidP="007B62B8">
            <w:pPr>
              <w:jc w:val="both"/>
              <w:rPr>
                <w:color w:val="000000"/>
                <w:sz w:val="18"/>
                <w:szCs w:val="18"/>
                <w:lang w:val="en-US"/>
              </w:rPr>
            </w:pPr>
            <w:r w:rsidRPr="00F2449F">
              <w:rPr>
                <w:color w:val="000000"/>
                <w:sz w:val="18"/>
                <w:szCs w:val="18"/>
                <w:lang w:val="en-US"/>
              </w:rPr>
              <w:t>Marketing Director</w:t>
            </w:r>
          </w:p>
        </w:tc>
        <w:tc>
          <w:tcPr>
            <w:tcW w:w="1276" w:type="dxa"/>
            <w:vAlign w:val="center"/>
          </w:tcPr>
          <w:p w14:paraId="000000DA"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0DB" w14:textId="77777777" w:rsidR="00985B1F" w:rsidRPr="00F2449F" w:rsidRDefault="00717D17" w:rsidP="007B62B8">
            <w:pPr>
              <w:jc w:val="both"/>
              <w:rPr>
                <w:color w:val="000000"/>
                <w:sz w:val="18"/>
                <w:szCs w:val="18"/>
                <w:lang w:val="en-US"/>
              </w:rPr>
            </w:pPr>
            <w:r w:rsidRPr="00F2449F">
              <w:rPr>
                <w:color w:val="000000"/>
                <w:sz w:val="18"/>
                <w:szCs w:val="18"/>
                <w:lang w:val="en-US"/>
              </w:rPr>
              <w:t>22</w:t>
            </w:r>
          </w:p>
        </w:tc>
        <w:tc>
          <w:tcPr>
            <w:tcW w:w="4053" w:type="dxa"/>
            <w:vAlign w:val="center"/>
          </w:tcPr>
          <w:p w14:paraId="000000DC" w14:textId="77777777" w:rsidR="00985B1F" w:rsidRPr="00F2449F" w:rsidRDefault="00717D17" w:rsidP="007B62B8">
            <w:pPr>
              <w:jc w:val="both"/>
              <w:rPr>
                <w:color w:val="000000"/>
                <w:sz w:val="18"/>
                <w:szCs w:val="18"/>
                <w:lang w:val="en-US"/>
              </w:rPr>
            </w:pPr>
            <w:r w:rsidRPr="00F2449F">
              <w:rPr>
                <w:color w:val="000000"/>
                <w:sz w:val="18"/>
                <w:szCs w:val="18"/>
                <w:lang w:val="en-US"/>
              </w:rPr>
              <w:t>Beauty and Cosmetics</w:t>
            </w:r>
          </w:p>
        </w:tc>
      </w:tr>
      <w:tr w:rsidR="00985B1F" w:rsidRPr="00F2449F" w14:paraId="548A0FB7" w14:textId="77777777">
        <w:tc>
          <w:tcPr>
            <w:tcW w:w="420" w:type="dxa"/>
            <w:tcBorders>
              <w:right w:val="single" w:sz="4" w:space="0" w:color="000000"/>
            </w:tcBorders>
            <w:vAlign w:val="center"/>
          </w:tcPr>
          <w:p w14:paraId="000000DD" w14:textId="77777777" w:rsidR="00985B1F" w:rsidRPr="00F2449F" w:rsidRDefault="00717D17" w:rsidP="007B62B8">
            <w:pPr>
              <w:jc w:val="both"/>
              <w:rPr>
                <w:color w:val="000000"/>
                <w:sz w:val="18"/>
                <w:szCs w:val="18"/>
                <w:lang w:val="en-US"/>
              </w:rPr>
            </w:pPr>
            <w:r w:rsidRPr="00F2449F">
              <w:rPr>
                <w:color w:val="000000"/>
                <w:sz w:val="18"/>
                <w:szCs w:val="18"/>
                <w:lang w:val="en-US"/>
              </w:rPr>
              <w:t>15</w:t>
            </w:r>
          </w:p>
        </w:tc>
        <w:tc>
          <w:tcPr>
            <w:tcW w:w="2127" w:type="dxa"/>
            <w:tcBorders>
              <w:left w:val="single" w:sz="4" w:space="0" w:color="000000"/>
            </w:tcBorders>
            <w:vAlign w:val="center"/>
          </w:tcPr>
          <w:p w14:paraId="000000DE" w14:textId="77777777" w:rsidR="00985B1F" w:rsidRPr="00F2449F" w:rsidRDefault="00717D17" w:rsidP="007B62B8">
            <w:pPr>
              <w:jc w:val="both"/>
              <w:rPr>
                <w:color w:val="000000"/>
                <w:sz w:val="18"/>
                <w:szCs w:val="18"/>
                <w:lang w:val="en-US"/>
              </w:rPr>
            </w:pPr>
            <w:r w:rsidRPr="00F2449F">
              <w:rPr>
                <w:color w:val="000000"/>
                <w:sz w:val="18"/>
                <w:szCs w:val="18"/>
                <w:lang w:val="en-US"/>
              </w:rPr>
              <w:t>Purchasing Manager</w:t>
            </w:r>
          </w:p>
        </w:tc>
        <w:tc>
          <w:tcPr>
            <w:tcW w:w="1276" w:type="dxa"/>
            <w:vAlign w:val="center"/>
          </w:tcPr>
          <w:p w14:paraId="000000DF"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0E0" w14:textId="77777777" w:rsidR="00985B1F" w:rsidRPr="00F2449F" w:rsidRDefault="00717D17" w:rsidP="007B62B8">
            <w:pPr>
              <w:jc w:val="both"/>
              <w:rPr>
                <w:color w:val="000000"/>
                <w:sz w:val="18"/>
                <w:szCs w:val="18"/>
                <w:lang w:val="en-US"/>
              </w:rPr>
            </w:pPr>
            <w:r w:rsidRPr="00F2449F">
              <w:rPr>
                <w:color w:val="000000"/>
                <w:sz w:val="18"/>
                <w:szCs w:val="18"/>
                <w:lang w:val="en-US"/>
              </w:rPr>
              <w:t>12</w:t>
            </w:r>
          </w:p>
        </w:tc>
        <w:tc>
          <w:tcPr>
            <w:tcW w:w="4053" w:type="dxa"/>
            <w:vAlign w:val="center"/>
          </w:tcPr>
          <w:p w14:paraId="000000E1" w14:textId="77777777" w:rsidR="00985B1F" w:rsidRPr="00F2449F" w:rsidRDefault="00717D17" w:rsidP="007B62B8">
            <w:pPr>
              <w:jc w:val="both"/>
              <w:rPr>
                <w:color w:val="000000"/>
                <w:sz w:val="18"/>
                <w:szCs w:val="18"/>
                <w:lang w:val="en-US"/>
              </w:rPr>
            </w:pPr>
            <w:r w:rsidRPr="00F2449F">
              <w:rPr>
                <w:color w:val="000000"/>
                <w:sz w:val="18"/>
                <w:szCs w:val="18"/>
                <w:lang w:val="en-US"/>
              </w:rPr>
              <w:t>Food and Beverage</w:t>
            </w:r>
          </w:p>
        </w:tc>
      </w:tr>
      <w:tr w:rsidR="00985B1F" w:rsidRPr="00F2449F" w14:paraId="4F89B1D3" w14:textId="77777777">
        <w:tc>
          <w:tcPr>
            <w:tcW w:w="420" w:type="dxa"/>
            <w:tcBorders>
              <w:right w:val="single" w:sz="4" w:space="0" w:color="000000"/>
            </w:tcBorders>
            <w:vAlign w:val="center"/>
          </w:tcPr>
          <w:p w14:paraId="000000E2" w14:textId="77777777" w:rsidR="00985B1F" w:rsidRPr="00F2449F" w:rsidRDefault="00717D17" w:rsidP="007B62B8">
            <w:pPr>
              <w:jc w:val="both"/>
              <w:rPr>
                <w:color w:val="000000"/>
                <w:sz w:val="18"/>
                <w:szCs w:val="18"/>
                <w:lang w:val="en-US"/>
              </w:rPr>
            </w:pPr>
            <w:r w:rsidRPr="00F2449F">
              <w:rPr>
                <w:color w:val="000000"/>
                <w:sz w:val="18"/>
                <w:szCs w:val="18"/>
                <w:lang w:val="en-US"/>
              </w:rPr>
              <w:t>16</w:t>
            </w:r>
          </w:p>
        </w:tc>
        <w:tc>
          <w:tcPr>
            <w:tcW w:w="2127" w:type="dxa"/>
            <w:tcBorders>
              <w:left w:val="single" w:sz="4" w:space="0" w:color="000000"/>
            </w:tcBorders>
            <w:vAlign w:val="center"/>
          </w:tcPr>
          <w:p w14:paraId="000000E3" w14:textId="77777777" w:rsidR="00985B1F" w:rsidRPr="00F2449F" w:rsidRDefault="00717D17" w:rsidP="007B62B8">
            <w:pPr>
              <w:jc w:val="both"/>
              <w:rPr>
                <w:color w:val="000000"/>
                <w:sz w:val="18"/>
                <w:szCs w:val="18"/>
                <w:lang w:val="en-US"/>
              </w:rPr>
            </w:pPr>
            <w:r w:rsidRPr="00F2449F">
              <w:rPr>
                <w:color w:val="000000"/>
                <w:sz w:val="18"/>
                <w:szCs w:val="18"/>
                <w:lang w:val="en-US"/>
              </w:rPr>
              <w:t>Sales Director</w:t>
            </w:r>
          </w:p>
        </w:tc>
        <w:tc>
          <w:tcPr>
            <w:tcW w:w="1276" w:type="dxa"/>
            <w:vAlign w:val="center"/>
          </w:tcPr>
          <w:p w14:paraId="000000E4"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0E5" w14:textId="77777777" w:rsidR="00985B1F" w:rsidRPr="00F2449F" w:rsidRDefault="00717D17" w:rsidP="007B62B8">
            <w:pPr>
              <w:jc w:val="both"/>
              <w:rPr>
                <w:color w:val="000000"/>
                <w:sz w:val="18"/>
                <w:szCs w:val="18"/>
                <w:lang w:val="en-US"/>
              </w:rPr>
            </w:pPr>
            <w:r w:rsidRPr="00F2449F">
              <w:rPr>
                <w:color w:val="000000"/>
                <w:sz w:val="18"/>
                <w:szCs w:val="18"/>
                <w:lang w:val="en-US"/>
              </w:rPr>
              <w:t>21</w:t>
            </w:r>
          </w:p>
        </w:tc>
        <w:tc>
          <w:tcPr>
            <w:tcW w:w="4053" w:type="dxa"/>
            <w:vAlign w:val="center"/>
          </w:tcPr>
          <w:p w14:paraId="000000E6" w14:textId="77777777" w:rsidR="00985B1F" w:rsidRPr="00F2449F" w:rsidRDefault="00717D17" w:rsidP="007B62B8">
            <w:pPr>
              <w:jc w:val="both"/>
              <w:rPr>
                <w:color w:val="000000"/>
                <w:sz w:val="18"/>
                <w:szCs w:val="18"/>
                <w:lang w:val="en-US"/>
              </w:rPr>
            </w:pPr>
            <w:r w:rsidRPr="00F2449F">
              <w:rPr>
                <w:color w:val="000000"/>
                <w:sz w:val="18"/>
                <w:szCs w:val="18"/>
                <w:lang w:val="en-US"/>
              </w:rPr>
              <w:t>Food and Beverage</w:t>
            </w:r>
          </w:p>
        </w:tc>
      </w:tr>
      <w:tr w:rsidR="00985B1F" w:rsidRPr="00EA736D" w14:paraId="7077DD64" w14:textId="77777777">
        <w:tc>
          <w:tcPr>
            <w:tcW w:w="420" w:type="dxa"/>
            <w:tcBorders>
              <w:right w:val="single" w:sz="4" w:space="0" w:color="000000"/>
            </w:tcBorders>
            <w:vAlign w:val="center"/>
          </w:tcPr>
          <w:p w14:paraId="000000E7" w14:textId="77777777" w:rsidR="00985B1F" w:rsidRPr="00F2449F" w:rsidRDefault="00717D17" w:rsidP="007B62B8">
            <w:pPr>
              <w:jc w:val="both"/>
              <w:rPr>
                <w:color w:val="000000"/>
                <w:sz w:val="18"/>
                <w:szCs w:val="18"/>
                <w:lang w:val="en-US"/>
              </w:rPr>
            </w:pPr>
            <w:r w:rsidRPr="00F2449F">
              <w:rPr>
                <w:color w:val="000000"/>
                <w:sz w:val="18"/>
                <w:szCs w:val="18"/>
                <w:lang w:val="en-US"/>
              </w:rPr>
              <w:t>17</w:t>
            </w:r>
          </w:p>
        </w:tc>
        <w:tc>
          <w:tcPr>
            <w:tcW w:w="2127" w:type="dxa"/>
            <w:tcBorders>
              <w:left w:val="single" w:sz="4" w:space="0" w:color="000000"/>
            </w:tcBorders>
            <w:vAlign w:val="center"/>
          </w:tcPr>
          <w:p w14:paraId="000000E8" w14:textId="77777777" w:rsidR="00985B1F" w:rsidRPr="00F2449F" w:rsidRDefault="00717D17" w:rsidP="007B62B8">
            <w:pPr>
              <w:jc w:val="both"/>
              <w:rPr>
                <w:color w:val="000000"/>
                <w:sz w:val="18"/>
                <w:szCs w:val="18"/>
                <w:lang w:val="en-US"/>
              </w:rPr>
            </w:pPr>
            <w:r w:rsidRPr="00F2449F">
              <w:rPr>
                <w:color w:val="000000"/>
                <w:sz w:val="18"/>
                <w:szCs w:val="18"/>
                <w:lang w:val="en-US"/>
              </w:rPr>
              <w:t>Key Account Manager</w:t>
            </w:r>
          </w:p>
        </w:tc>
        <w:tc>
          <w:tcPr>
            <w:tcW w:w="1276" w:type="dxa"/>
            <w:vAlign w:val="center"/>
          </w:tcPr>
          <w:p w14:paraId="000000E9"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0EA" w14:textId="77777777" w:rsidR="00985B1F" w:rsidRPr="00F2449F" w:rsidRDefault="00717D17" w:rsidP="007B62B8">
            <w:pPr>
              <w:jc w:val="both"/>
              <w:rPr>
                <w:color w:val="000000"/>
                <w:sz w:val="18"/>
                <w:szCs w:val="18"/>
                <w:lang w:val="en-US"/>
              </w:rPr>
            </w:pPr>
            <w:r w:rsidRPr="00F2449F">
              <w:rPr>
                <w:color w:val="000000"/>
                <w:sz w:val="18"/>
                <w:szCs w:val="18"/>
                <w:lang w:val="en-US"/>
              </w:rPr>
              <w:t>14</w:t>
            </w:r>
          </w:p>
        </w:tc>
        <w:tc>
          <w:tcPr>
            <w:tcW w:w="4053" w:type="dxa"/>
            <w:vAlign w:val="center"/>
          </w:tcPr>
          <w:p w14:paraId="000000EB" w14:textId="77777777" w:rsidR="00985B1F" w:rsidRPr="00F2449F" w:rsidRDefault="00717D17" w:rsidP="007B62B8">
            <w:pPr>
              <w:jc w:val="both"/>
              <w:rPr>
                <w:color w:val="000000"/>
                <w:sz w:val="18"/>
                <w:szCs w:val="18"/>
                <w:lang w:val="en-US"/>
              </w:rPr>
            </w:pPr>
            <w:r w:rsidRPr="00F2449F">
              <w:rPr>
                <w:color w:val="000000"/>
                <w:sz w:val="18"/>
                <w:szCs w:val="18"/>
                <w:lang w:val="en-US"/>
              </w:rPr>
              <w:t>Food and Beverage (vending machines)</w:t>
            </w:r>
          </w:p>
        </w:tc>
      </w:tr>
      <w:tr w:rsidR="00985B1F" w:rsidRPr="00F2449F" w14:paraId="41753B31" w14:textId="77777777">
        <w:tc>
          <w:tcPr>
            <w:tcW w:w="420" w:type="dxa"/>
            <w:tcBorders>
              <w:right w:val="single" w:sz="4" w:space="0" w:color="000000"/>
            </w:tcBorders>
            <w:vAlign w:val="center"/>
          </w:tcPr>
          <w:p w14:paraId="000000EC" w14:textId="77777777" w:rsidR="00985B1F" w:rsidRPr="00F2449F" w:rsidRDefault="00717D17" w:rsidP="007B62B8">
            <w:pPr>
              <w:jc w:val="both"/>
              <w:rPr>
                <w:color w:val="000000"/>
                <w:sz w:val="18"/>
                <w:szCs w:val="18"/>
                <w:lang w:val="en-US"/>
              </w:rPr>
            </w:pPr>
            <w:r w:rsidRPr="00F2449F">
              <w:rPr>
                <w:color w:val="000000"/>
                <w:sz w:val="18"/>
                <w:szCs w:val="18"/>
                <w:lang w:val="en-US"/>
              </w:rPr>
              <w:t>18</w:t>
            </w:r>
          </w:p>
        </w:tc>
        <w:tc>
          <w:tcPr>
            <w:tcW w:w="2127" w:type="dxa"/>
            <w:tcBorders>
              <w:left w:val="single" w:sz="4" w:space="0" w:color="000000"/>
            </w:tcBorders>
            <w:vAlign w:val="center"/>
          </w:tcPr>
          <w:p w14:paraId="000000ED" w14:textId="77777777" w:rsidR="00985B1F" w:rsidRPr="00F2449F" w:rsidRDefault="00717D17" w:rsidP="007B62B8">
            <w:pPr>
              <w:jc w:val="both"/>
              <w:rPr>
                <w:color w:val="000000"/>
                <w:sz w:val="18"/>
                <w:szCs w:val="18"/>
                <w:lang w:val="en-US"/>
              </w:rPr>
            </w:pPr>
            <w:r w:rsidRPr="00F2449F">
              <w:rPr>
                <w:color w:val="000000"/>
                <w:sz w:val="18"/>
                <w:szCs w:val="18"/>
                <w:lang w:val="en-US"/>
              </w:rPr>
              <w:t>Area Manager</w:t>
            </w:r>
          </w:p>
        </w:tc>
        <w:tc>
          <w:tcPr>
            <w:tcW w:w="1276" w:type="dxa"/>
            <w:vAlign w:val="center"/>
          </w:tcPr>
          <w:p w14:paraId="000000EE"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0EF" w14:textId="77777777" w:rsidR="00985B1F" w:rsidRPr="00F2449F" w:rsidRDefault="00717D17" w:rsidP="007B62B8">
            <w:pPr>
              <w:jc w:val="both"/>
              <w:rPr>
                <w:color w:val="000000"/>
                <w:sz w:val="18"/>
                <w:szCs w:val="18"/>
                <w:lang w:val="en-US"/>
              </w:rPr>
            </w:pPr>
            <w:r w:rsidRPr="00F2449F">
              <w:rPr>
                <w:color w:val="000000"/>
                <w:sz w:val="18"/>
                <w:szCs w:val="18"/>
                <w:lang w:val="en-US"/>
              </w:rPr>
              <w:t>15</w:t>
            </w:r>
          </w:p>
        </w:tc>
        <w:tc>
          <w:tcPr>
            <w:tcW w:w="4053" w:type="dxa"/>
            <w:vAlign w:val="center"/>
          </w:tcPr>
          <w:p w14:paraId="000000F0" w14:textId="77777777" w:rsidR="00985B1F" w:rsidRPr="00F2449F" w:rsidRDefault="00717D17" w:rsidP="007B62B8">
            <w:pPr>
              <w:jc w:val="both"/>
              <w:rPr>
                <w:color w:val="000000"/>
                <w:sz w:val="18"/>
                <w:szCs w:val="18"/>
                <w:lang w:val="en-US"/>
              </w:rPr>
            </w:pPr>
            <w:r w:rsidRPr="00F2449F">
              <w:rPr>
                <w:color w:val="000000"/>
                <w:sz w:val="18"/>
                <w:szCs w:val="18"/>
                <w:lang w:val="en-US"/>
              </w:rPr>
              <w:t>Pharmaceutical</w:t>
            </w:r>
          </w:p>
        </w:tc>
      </w:tr>
      <w:tr w:rsidR="00985B1F" w:rsidRPr="00F2449F" w14:paraId="496C9600" w14:textId="77777777">
        <w:tc>
          <w:tcPr>
            <w:tcW w:w="420" w:type="dxa"/>
            <w:tcBorders>
              <w:right w:val="single" w:sz="4" w:space="0" w:color="000000"/>
            </w:tcBorders>
            <w:vAlign w:val="center"/>
          </w:tcPr>
          <w:p w14:paraId="000000F1" w14:textId="77777777" w:rsidR="00985B1F" w:rsidRPr="00F2449F" w:rsidRDefault="00717D17" w:rsidP="007B62B8">
            <w:pPr>
              <w:jc w:val="both"/>
              <w:rPr>
                <w:color w:val="000000"/>
                <w:sz w:val="18"/>
                <w:szCs w:val="18"/>
                <w:lang w:val="en-US"/>
              </w:rPr>
            </w:pPr>
            <w:r w:rsidRPr="00F2449F">
              <w:rPr>
                <w:color w:val="000000"/>
                <w:sz w:val="18"/>
                <w:szCs w:val="18"/>
                <w:lang w:val="en-US"/>
              </w:rPr>
              <w:t>19</w:t>
            </w:r>
          </w:p>
        </w:tc>
        <w:tc>
          <w:tcPr>
            <w:tcW w:w="2127" w:type="dxa"/>
            <w:tcBorders>
              <w:left w:val="single" w:sz="4" w:space="0" w:color="000000"/>
            </w:tcBorders>
            <w:vAlign w:val="center"/>
          </w:tcPr>
          <w:p w14:paraId="000000F2" w14:textId="77777777" w:rsidR="00985B1F" w:rsidRPr="00F2449F" w:rsidRDefault="00717D17" w:rsidP="007B62B8">
            <w:pPr>
              <w:jc w:val="both"/>
              <w:rPr>
                <w:color w:val="000000"/>
                <w:sz w:val="18"/>
                <w:szCs w:val="18"/>
                <w:lang w:val="en-US"/>
              </w:rPr>
            </w:pPr>
            <w:r w:rsidRPr="00F2449F">
              <w:rPr>
                <w:color w:val="000000"/>
                <w:sz w:val="18"/>
                <w:szCs w:val="18"/>
                <w:lang w:val="en-US"/>
              </w:rPr>
              <w:t>Export Manager</w:t>
            </w:r>
          </w:p>
        </w:tc>
        <w:tc>
          <w:tcPr>
            <w:tcW w:w="1276" w:type="dxa"/>
            <w:vAlign w:val="center"/>
          </w:tcPr>
          <w:p w14:paraId="000000F3"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0F4" w14:textId="77777777" w:rsidR="00985B1F" w:rsidRPr="00F2449F" w:rsidRDefault="00717D17" w:rsidP="007B62B8">
            <w:pPr>
              <w:jc w:val="both"/>
              <w:rPr>
                <w:color w:val="000000"/>
                <w:sz w:val="18"/>
                <w:szCs w:val="18"/>
                <w:lang w:val="en-US"/>
              </w:rPr>
            </w:pPr>
            <w:r w:rsidRPr="00F2449F">
              <w:rPr>
                <w:color w:val="000000"/>
                <w:sz w:val="18"/>
                <w:szCs w:val="18"/>
                <w:lang w:val="en-US"/>
              </w:rPr>
              <w:t>8</w:t>
            </w:r>
          </w:p>
        </w:tc>
        <w:tc>
          <w:tcPr>
            <w:tcW w:w="4053" w:type="dxa"/>
            <w:vAlign w:val="center"/>
          </w:tcPr>
          <w:p w14:paraId="000000F5" w14:textId="77777777" w:rsidR="00985B1F" w:rsidRPr="00F2449F" w:rsidRDefault="00717D17" w:rsidP="007B62B8">
            <w:pPr>
              <w:jc w:val="both"/>
              <w:rPr>
                <w:color w:val="000000"/>
                <w:sz w:val="18"/>
                <w:szCs w:val="18"/>
                <w:lang w:val="en-US"/>
              </w:rPr>
            </w:pPr>
            <w:r w:rsidRPr="00F2449F">
              <w:rPr>
                <w:color w:val="000000"/>
                <w:sz w:val="18"/>
                <w:szCs w:val="18"/>
                <w:lang w:val="en-US"/>
              </w:rPr>
              <w:t>Wine</w:t>
            </w:r>
          </w:p>
        </w:tc>
      </w:tr>
      <w:tr w:rsidR="00985B1F" w:rsidRPr="00F2449F" w14:paraId="65C3579D" w14:textId="77777777">
        <w:tc>
          <w:tcPr>
            <w:tcW w:w="420" w:type="dxa"/>
            <w:tcBorders>
              <w:right w:val="single" w:sz="4" w:space="0" w:color="000000"/>
            </w:tcBorders>
            <w:vAlign w:val="center"/>
          </w:tcPr>
          <w:p w14:paraId="000000F6" w14:textId="77777777" w:rsidR="00985B1F" w:rsidRPr="00F2449F" w:rsidRDefault="00717D17" w:rsidP="007B62B8">
            <w:pPr>
              <w:jc w:val="both"/>
              <w:rPr>
                <w:color w:val="000000"/>
                <w:sz w:val="18"/>
                <w:szCs w:val="18"/>
                <w:lang w:val="en-US"/>
              </w:rPr>
            </w:pPr>
            <w:r w:rsidRPr="00F2449F">
              <w:rPr>
                <w:color w:val="000000"/>
                <w:sz w:val="18"/>
                <w:szCs w:val="18"/>
                <w:lang w:val="en-US"/>
              </w:rPr>
              <w:t>20</w:t>
            </w:r>
          </w:p>
        </w:tc>
        <w:tc>
          <w:tcPr>
            <w:tcW w:w="2127" w:type="dxa"/>
            <w:tcBorders>
              <w:left w:val="single" w:sz="4" w:space="0" w:color="000000"/>
            </w:tcBorders>
            <w:vAlign w:val="center"/>
          </w:tcPr>
          <w:p w14:paraId="000000F7" w14:textId="77777777" w:rsidR="00985B1F" w:rsidRPr="00F2449F" w:rsidRDefault="00717D17" w:rsidP="007B62B8">
            <w:pPr>
              <w:jc w:val="both"/>
              <w:rPr>
                <w:color w:val="000000"/>
                <w:sz w:val="18"/>
                <w:szCs w:val="18"/>
                <w:lang w:val="en-US"/>
              </w:rPr>
            </w:pPr>
            <w:r w:rsidRPr="00F2449F">
              <w:rPr>
                <w:color w:val="000000"/>
                <w:sz w:val="18"/>
                <w:szCs w:val="18"/>
                <w:lang w:val="en-US"/>
              </w:rPr>
              <w:t>Business Developer</w:t>
            </w:r>
          </w:p>
        </w:tc>
        <w:tc>
          <w:tcPr>
            <w:tcW w:w="1276" w:type="dxa"/>
            <w:vAlign w:val="center"/>
          </w:tcPr>
          <w:p w14:paraId="000000F8"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0F9" w14:textId="77777777" w:rsidR="00985B1F" w:rsidRPr="00F2449F" w:rsidRDefault="00717D17" w:rsidP="007B62B8">
            <w:pPr>
              <w:jc w:val="both"/>
              <w:rPr>
                <w:color w:val="000000"/>
                <w:sz w:val="18"/>
                <w:szCs w:val="18"/>
                <w:lang w:val="en-US"/>
              </w:rPr>
            </w:pPr>
            <w:r w:rsidRPr="00F2449F">
              <w:rPr>
                <w:color w:val="000000"/>
                <w:sz w:val="18"/>
                <w:szCs w:val="18"/>
                <w:lang w:val="en-US"/>
              </w:rPr>
              <w:t>10</w:t>
            </w:r>
          </w:p>
        </w:tc>
        <w:tc>
          <w:tcPr>
            <w:tcW w:w="4053" w:type="dxa"/>
            <w:vAlign w:val="center"/>
          </w:tcPr>
          <w:p w14:paraId="000000FA" w14:textId="77777777" w:rsidR="00985B1F" w:rsidRPr="00F2449F" w:rsidRDefault="00717D17" w:rsidP="007B62B8">
            <w:pPr>
              <w:jc w:val="both"/>
              <w:rPr>
                <w:color w:val="000000"/>
                <w:sz w:val="18"/>
                <w:szCs w:val="18"/>
                <w:lang w:val="en-US"/>
              </w:rPr>
            </w:pPr>
            <w:r w:rsidRPr="00F2449F">
              <w:rPr>
                <w:color w:val="000000"/>
                <w:sz w:val="18"/>
                <w:szCs w:val="18"/>
                <w:lang w:val="en-US"/>
              </w:rPr>
              <w:t>Mechanicals</w:t>
            </w:r>
          </w:p>
        </w:tc>
      </w:tr>
      <w:tr w:rsidR="00985B1F" w:rsidRPr="00F2449F" w14:paraId="1205052B" w14:textId="77777777">
        <w:tc>
          <w:tcPr>
            <w:tcW w:w="420" w:type="dxa"/>
            <w:tcBorders>
              <w:right w:val="single" w:sz="4" w:space="0" w:color="000000"/>
            </w:tcBorders>
            <w:vAlign w:val="center"/>
          </w:tcPr>
          <w:p w14:paraId="000000FB" w14:textId="77777777" w:rsidR="00985B1F" w:rsidRPr="00F2449F" w:rsidRDefault="00717D17" w:rsidP="007B62B8">
            <w:pPr>
              <w:jc w:val="both"/>
              <w:rPr>
                <w:color w:val="000000"/>
                <w:sz w:val="18"/>
                <w:szCs w:val="18"/>
                <w:lang w:val="en-US"/>
              </w:rPr>
            </w:pPr>
            <w:r w:rsidRPr="00F2449F">
              <w:rPr>
                <w:color w:val="000000"/>
                <w:sz w:val="18"/>
                <w:szCs w:val="18"/>
                <w:lang w:val="en-US"/>
              </w:rPr>
              <w:t>21</w:t>
            </w:r>
          </w:p>
        </w:tc>
        <w:tc>
          <w:tcPr>
            <w:tcW w:w="2127" w:type="dxa"/>
            <w:tcBorders>
              <w:left w:val="single" w:sz="4" w:space="0" w:color="000000"/>
            </w:tcBorders>
            <w:vAlign w:val="center"/>
          </w:tcPr>
          <w:p w14:paraId="000000FC" w14:textId="77777777" w:rsidR="00985B1F" w:rsidRPr="00F2449F" w:rsidRDefault="00717D17" w:rsidP="007B62B8">
            <w:pPr>
              <w:jc w:val="both"/>
              <w:rPr>
                <w:color w:val="000000"/>
                <w:sz w:val="18"/>
                <w:szCs w:val="18"/>
                <w:lang w:val="en-US"/>
              </w:rPr>
            </w:pPr>
            <w:r w:rsidRPr="00F2449F">
              <w:rPr>
                <w:color w:val="000000"/>
                <w:sz w:val="18"/>
                <w:szCs w:val="18"/>
                <w:lang w:val="en-US"/>
              </w:rPr>
              <w:t>Sales and Marketing Manager</w:t>
            </w:r>
          </w:p>
        </w:tc>
        <w:tc>
          <w:tcPr>
            <w:tcW w:w="1276" w:type="dxa"/>
            <w:vAlign w:val="center"/>
          </w:tcPr>
          <w:p w14:paraId="000000FD"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0FE" w14:textId="77777777" w:rsidR="00985B1F" w:rsidRPr="00F2449F" w:rsidRDefault="00717D17" w:rsidP="007B62B8">
            <w:pPr>
              <w:jc w:val="both"/>
              <w:rPr>
                <w:color w:val="000000"/>
                <w:sz w:val="18"/>
                <w:szCs w:val="18"/>
                <w:lang w:val="en-US"/>
              </w:rPr>
            </w:pPr>
            <w:r w:rsidRPr="00F2449F">
              <w:rPr>
                <w:color w:val="000000"/>
                <w:sz w:val="18"/>
                <w:szCs w:val="18"/>
                <w:lang w:val="en-US"/>
              </w:rPr>
              <w:t>6</w:t>
            </w:r>
          </w:p>
        </w:tc>
        <w:tc>
          <w:tcPr>
            <w:tcW w:w="4053" w:type="dxa"/>
            <w:vAlign w:val="center"/>
          </w:tcPr>
          <w:p w14:paraId="000000FF" w14:textId="77777777" w:rsidR="00985B1F" w:rsidRPr="00F2449F" w:rsidRDefault="00717D17" w:rsidP="007B62B8">
            <w:pPr>
              <w:jc w:val="both"/>
              <w:rPr>
                <w:color w:val="000000"/>
                <w:sz w:val="18"/>
                <w:szCs w:val="18"/>
                <w:lang w:val="en-US"/>
              </w:rPr>
            </w:pPr>
            <w:r w:rsidRPr="00F2449F">
              <w:rPr>
                <w:color w:val="000000"/>
                <w:sz w:val="18"/>
                <w:szCs w:val="18"/>
                <w:lang w:val="en-US"/>
              </w:rPr>
              <w:t>Electronics</w:t>
            </w:r>
          </w:p>
        </w:tc>
      </w:tr>
      <w:tr w:rsidR="00985B1F" w:rsidRPr="00F2449F" w14:paraId="65A40202" w14:textId="77777777">
        <w:tc>
          <w:tcPr>
            <w:tcW w:w="420" w:type="dxa"/>
            <w:tcBorders>
              <w:right w:val="single" w:sz="4" w:space="0" w:color="000000"/>
            </w:tcBorders>
            <w:vAlign w:val="center"/>
          </w:tcPr>
          <w:p w14:paraId="00000100" w14:textId="77777777" w:rsidR="00985B1F" w:rsidRPr="00F2449F" w:rsidRDefault="00717D17" w:rsidP="007B62B8">
            <w:pPr>
              <w:jc w:val="both"/>
              <w:rPr>
                <w:color w:val="000000"/>
                <w:sz w:val="18"/>
                <w:szCs w:val="18"/>
                <w:lang w:val="en-US"/>
              </w:rPr>
            </w:pPr>
            <w:r w:rsidRPr="00F2449F">
              <w:rPr>
                <w:color w:val="000000"/>
                <w:sz w:val="18"/>
                <w:szCs w:val="18"/>
                <w:lang w:val="en-US"/>
              </w:rPr>
              <w:t>22</w:t>
            </w:r>
          </w:p>
        </w:tc>
        <w:tc>
          <w:tcPr>
            <w:tcW w:w="2127" w:type="dxa"/>
            <w:tcBorders>
              <w:left w:val="single" w:sz="4" w:space="0" w:color="000000"/>
            </w:tcBorders>
            <w:vAlign w:val="center"/>
          </w:tcPr>
          <w:p w14:paraId="00000101" w14:textId="77777777" w:rsidR="00985B1F" w:rsidRPr="00F2449F" w:rsidRDefault="00717D17" w:rsidP="007B62B8">
            <w:pPr>
              <w:jc w:val="both"/>
              <w:rPr>
                <w:color w:val="000000"/>
                <w:sz w:val="18"/>
                <w:szCs w:val="18"/>
                <w:lang w:val="en-US"/>
              </w:rPr>
            </w:pPr>
            <w:r w:rsidRPr="00F2449F">
              <w:rPr>
                <w:color w:val="000000"/>
                <w:sz w:val="18"/>
                <w:szCs w:val="18"/>
                <w:lang w:val="en-US"/>
              </w:rPr>
              <w:t>Business Developer</w:t>
            </w:r>
          </w:p>
        </w:tc>
        <w:tc>
          <w:tcPr>
            <w:tcW w:w="1276" w:type="dxa"/>
            <w:vAlign w:val="center"/>
          </w:tcPr>
          <w:p w14:paraId="00000102"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103" w14:textId="77777777" w:rsidR="00985B1F" w:rsidRPr="00F2449F" w:rsidRDefault="00985B1F" w:rsidP="007B62B8">
            <w:pPr>
              <w:jc w:val="both"/>
              <w:rPr>
                <w:color w:val="000000"/>
                <w:sz w:val="18"/>
                <w:szCs w:val="18"/>
                <w:lang w:val="en-US"/>
              </w:rPr>
            </w:pPr>
          </w:p>
        </w:tc>
        <w:tc>
          <w:tcPr>
            <w:tcW w:w="4053" w:type="dxa"/>
            <w:vAlign w:val="center"/>
          </w:tcPr>
          <w:p w14:paraId="00000104" w14:textId="77777777" w:rsidR="00985B1F" w:rsidRPr="00F2449F" w:rsidRDefault="00717D17" w:rsidP="007B62B8">
            <w:pPr>
              <w:jc w:val="both"/>
              <w:rPr>
                <w:color w:val="000000"/>
                <w:sz w:val="18"/>
                <w:szCs w:val="18"/>
                <w:lang w:val="en-US"/>
              </w:rPr>
            </w:pPr>
            <w:r w:rsidRPr="00F2449F">
              <w:rPr>
                <w:color w:val="000000"/>
                <w:sz w:val="18"/>
                <w:szCs w:val="18"/>
                <w:lang w:val="en-US"/>
              </w:rPr>
              <w:t>Logistics</w:t>
            </w:r>
          </w:p>
        </w:tc>
      </w:tr>
      <w:tr w:rsidR="00985B1F" w:rsidRPr="00F2449F" w14:paraId="5FEDFA30" w14:textId="77777777">
        <w:tc>
          <w:tcPr>
            <w:tcW w:w="420" w:type="dxa"/>
            <w:tcBorders>
              <w:right w:val="single" w:sz="4" w:space="0" w:color="000000"/>
            </w:tcBorders>
            <w:vAlign w:val="center"/>
          </w:tcPr>
          <w:p w14:paraId="00000105" w14:textId="77777777" w:rsidR="00985B1F" w:rsidRPr="00F2449F" w:rsidRDefault="00717D17" w:rsidP="007B62B8">
            <w:pPr>
              <w:jc w:val="both"/>
              <w:rPr>
                <w:color w:val="000000"/>
                <w:sz w:val="18"/>
                <w:szCs w:val="18"/>
                <w:lang w:val="en-US"/>
              </w:rPr>
            </w:pPr>
            <w:r w:rsidRPr="00F2449F">
              <w:rPr>
                <w:color w:val="000000"/>
                <w:sz w:val="18"/>
                <w:szCs w:val="18"/>
                <w:lang w:val="en-US"/>
              </w:rPr>
              <w:t>23</w:t>
            </w:r>
          </w:p>
        </w:tc>
        <w:tc>
          <w:tcPr>
            <w:tcW w:w="2127" w:type="dxa"/>
            <w:tcBorders>
              <w:left w:val="single" w:sz="4" w:space="0" w:color="000000"/>
            </w:tcBorders>
            <w:vAlign w:val="center"/>
          </w:tcPr>
          <w:p w14:paraId="00000106" w14:textId="77777777" w:rsidR="00985B1F" w:rsidRPr="00F2449F" w:rsidRDefault="00717D17" w:rsidP="007B62B8">
            <w:pPr>
              <w:jc w:val="both"/>
              <w:rPr>
                <w:color w:val="000000"/>
                <w:sz w:val="18"/>
                <w:szCs w:val="18"/>
                <w:lang w:val="en-US"/>
              </w:rPr>
            </w:pPr>
            <w:r w:rsidRPr="00F2449F">
              <w:rPr>
                <w:color w:val="000000"/>
                <w:sz w:val="18"/>
                <w:szCs w:val="18"/>
                <w:lang w:val="en-US"/>
              </w:rPr>
              <w:t>EMEA Marketing Director</w:t>
            </w:r>
          </w:p>
        </w:tc>
        <w:tc>
          <w:tcPr>
            <w:tcW w:w="1276" w:type="dxa"/>
            <w:vAlign w:val="center"/>
          </w:tcPr>
          <w:p w14:paraId="00000107"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108" w14:textId="77777777" w:rsidR="00985B1F" w:rsidRPr="00F2449F" w:rsidRDefault="00717D17" w:rsidP="007B62B8">
            <w:pPr>
              <w:jc w:val="both"/>
              <w:rPr>
                <w:color w:val="000000"/>
                <w:sz w:val="18"/>
                <w:szCs w:val="18"/>
                <w:lang w:val="en-US"/>
              </w:rPr>
            </w:pPr>
            <w:r w:rsidRPr="00F2449F">
              <w:rPr>
                <w:color w:val="000000"/>
                <w:sz w:val="18"/>
                <w:szCs w:val="18"/>
                <w:lang w:val="en-US"/>
              </w:rPr>
              <w:t>16</w:t>
            </w:r>
          </w:p>
        </w:tc>
        <w:tc>
          <w:tcPr>
            <w:tcW w:w="4053" w:type="dxa"/>
            <w:vAlign w:val="center"/>
          </w:tcPr>
          <w:p w14:paraId="00000109" w14:textId="77777777" w:rsidR="00985B1F" w:rsidRPr="00F2449F" w:rsidRDefault="00717D17" w:rsidP="007B62B8">
            <w:pPr>
              <w:jc w:val="both"/>
              <w:rPr>
                <w:color w:val="000000"/>
                <w:sz w:val="18"/>
                <w:szCs w:val="18"/>
                <w:lang w:val="en-US"/>
              </w:rPr>
            </w:pPr>
            <w:r w:rsidRPr="00F2449F">
              <w:rPr>
                <w:color w:val="000000"/>
                <w:sz w:val="18"/>
                <w:szCs w:val="18"/>
                <w:lang w:val="en-US"/>
              </w:rPr>
              <w:t>Management Consulting</w:t>
            </w:r>
          </w:p>
        </w:tc>
      </w:tr>
      <w:tr w:rsidR="00985B1F" w:rsidRPr="00F2449F" w14:paraId="47A4001E" w14:textId="77777777">
        <w:tc>
          <w:tcPr>
            <w:tcW w:w="420" w:type="dxa"/>
            <w:vAlign w:val="center"/>
          </w:tcPr>
          <w:p w14:paraId="0000010A" w14:textId="77777777" w:rsidR="00985B1F" w:rsidRPr="00F2449F" w:rsidRDefault="00717D17" w:rsidP="007B62B8">
            <w:pPr>
              <w:jc w:val="both"/>
              <w:rPr>
                <w:color w:val="000000"/>
                <w:sz w:val="18"/>
                <w:szCs w:val="18"/>
                <w:lang w:val="en-US"/>
              </w:rPr>
            </w:pPr>
            <w:r w:rsidRPr="00F2449F">
              <w:rPr>
                <w:color w:val="000000"/>
                <w:sz w:val="18"/>
                <w:szCs w:val="18"/>
                <w:lang w:val="en-US"/>
              </w:rPr>
              <w:t>24</w:t>
            </w:r>
          </w:p>
        </w:tc>
        <w:tc>
          <w:tcPr>
            <w:tcW w:w="2127" w:type="dxa"/>
            <w:vAlign w:val="center"/>
          </w:tcPr>
          <w:p w14:paraId="0000010B" w14:textId="77777777" w:rsidR="00985B1F" w:rsidRPr="00F2449F" w:rsidRDefault="00717D17" w:rsidP="007B62B8">
            <w:pPr>
              <w:jc w:val="both"/>
              <w:rPr>
                <w:color w:val="000000"/>
                <w:sz w:val="18"/>
                <w:szCs w:val="18"/>
                <w:lang w:val="en-US"/>
              </w:rPr>
            </w:pPr>
            <w:r w:rsidRPr="00F2449F">
              <w:rPr>
                <w:color w:val="000000"/>
                <w:sz w:val="18"/>
                <w:szCs w:val="18"/>
                <w:lang w:val="en-US"/>
              </w:rPr>
              <w:t>Export Manager</w:t>
            </w:r>
          </w:p>
        </w:tc>
        <w:tc>
          <w:tcPr>
            <w:tcW w:w="1276" w:type="dxa"/>
            <w:vAlign w:val="center"/>
          </w:tcPr>
          <w:p w14:paraId="0000010C"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10D" w14:textId="77777777" w:rsidR="00985B1F" w:rsidRPr="00F2449F" w:rsidRDefault="00717D17" w:rsidP="007B62B8">
            <w:pPr>
              <w:jc w:val="both"/>
              <w:rPr>
                <w:color w:val="000000"/>
                <w:sz w:val="18"/>
                <w:szCs w:val="18"/>
                <w:lang w:val="en-US"/>
              </w:rPr>
            </w:pPr>
            <w:r w:rsidRPr="00F2449F">
              <w:rPr>
                <w:color w:val="000000"/>
                <w:sz w:val="18"/>
                <w:szCs w:val="18"/>
                <w:lang w:val="en-US"/>
              </w:rPr>
              <w:t>10</w:t>
            </w:r>
          </w:p>
        </w:tc>
        <w:tc>
          <w:tcPr>
            <w:tcW w:w="4053" w:type="dxa"/>
            <w:vAlign w:val="center"/>
          </w:tcPr>
          <w:p w14:paraId="0000010E" w14:textId="77777777" w:rsidR="00985B1F" w:rsidRPr="00F2449F" w:rsidRDefault="00717D17" w:rsidP="007B62B8">
            <w:pPr>
              <w:jc w:val="both"/>
              <w:rPr>
                <w:color w:val="000000"/>
                <w:sz w:val="18"/>
                <w:szCs w:val="18"/>
                <w:lang w:val="en-US"/>
              </w:rPr>
            </w:pPr>
            <w:r w:rsidRPr="00F2449F">
              <w:rPr>
                <w:color w:val="000000"/>
                <w:sz w:val="18"/>
                <w:szCs w:val="18"/>
                <w:lang w:val="en-US"/>
              </w:rPr>
              <w:t>Chemicals</w:t>
            </w:r>
          </w:p>
        </w:tc>
      </w:tr>
      <w:tr w:rsidR="00985B1F" w:rsidRPr="00F2449F" w14:paraId="79A56253" w14:textId="77777777">
        <w:tc>
          <w:tcPr>
            <w:tcW w:w="420" w:type="dxa"/>
            <w:tcBorders>
              <w:right w:val="single" w:sz="4" w:space="0" w:color="000000"/>
            </w:tcBorders>
            <w:vAlign w:val="center"/>
          </w:tcPr>
          <w:p w14:paraId="0000010F" w14:textId="77777777" w:rsidR="00985B1F" w:rsidRPr="00F2449F" w:rsidRDefault="00717D17" w:rsidP="007B62B8">
            <w:pPr>
              <w:jc w:val="both"/>
              <w:rPr>
                <w:color w:val="000000"/>
                <w:sz w:val="18"/>
                <w:szCs w:val="18"/>
                <w:lang w:val="en-US"/>
              </w:rPr>
            </w:pPr>
            <w:r w:rsidRPr="00F2449F">
              <w:rPr>
                <w:color w:val="000000"/>
                <w:sz w:val="18"/>
                <w:szCs w:val="18"/>
                <w:lang w:val="en-US"/>
              </w:rPr>
              <w:t>25</w:t>
            </w:r>
          </w:p>
        </w:tc>
        <w:tc>
          <w:tcPr>
            <w:tcW w:w="2127" w:type="dxa"/>
            <w:tcBorders>
              <w:left w:val="single" w:sz="4" w:space="0" w:color="000000"/>
            </w:tcBorders>
            <w:vAlign w:val="center"/>
          </w:tcPr>
          <w:p w14:paraId="00000110" w14:textId="77777777" w:rsidR="00985B1F" w:rsidRPr="00F2449F" w:rsidRDefault="00717D17" w:rsidP="007B62B8">
            <w:pPr>
              <w:jc w:val="both"/>
              <w:rPr>
                <w:color w:val="000000"/>
                <w:sz w:val="18"/>
                <w:szCs w:val="18"/>
                <w:lang w:val="en-US"/>
              </w:rPr>
            </w:pPr>
            <w:r w:rsidRPr="00F2449F">
              <w:rPr>
                <w:color w:val="000000"/>
                <w:sz w:val="18"/>
                <w:szCs w:val="18"/>
                <w:lang w:val="en-US"/>
              </w:rPr>
              <w:t>Costumer Experience Manager</w:t>
            </w:r>
          </w:p>
        </w:tc>
        <w:tc>
          <w:tcPr>
            <w:tcW w:w="1276" w:type="dxa"/>
            <w:vAlign w:val="center"/>
          </w:tcPr>
          <w:p w14:paraId="00000111"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112" w14:textId="77777777" w:rsidR="00985B1F" w:rsidRPr="00F2449F" w:rsidRDefault="00717D17" w:rsidP="007B62B8">
            <w:pPr>
              <w:jc w:val="both"/>
              <w:rPr>
                <w:color w:val="000000"/>
                <w:sz w:val="18"/>
                <w:szCs w:val="18"/>
                <w:lang w:val="en-US"/>
              </w:rPr>
            </w:pPr>
            <w:r w:rsidRPr="00F2449F">
              <w:rPr>
                <w:color w:val="000000"/>
                <w:sz w:val="18"/>
                <w:szCs w:val="18"/>
                <w:lang w:val="en-US"/>
              </w:rPr>
              <w:t>7</w:t>
            </w:r>
          </w:p>
        </w:tc>
        <w:tc>
          <w:tcPr>
            <w:tcW w:w="4053" w:type="dxa"/>
            <w:vAlign w:val="center"/>
          </w:tcPr>
          <w:p w14:paraId="00000113" w14:textId="77777777" w:rsidR="00985B1F" w:rsidRPr="00F2449F" w:rsidRDefault="00717D17" w:rsidP="007B62B8">
            <w:pPr>
              <w:jc w:val="both"/>
              <w:rPr>
                <w:color w:val="000000"/>
                <w:sz w:val="18"/>
                <w:szCs w:val="18"/>
                <w:lang w:val="en-US"/>
              </w:rPr>
            </w:pPr>
            <w:r w:rsidRPr="00F2449F">
              <w:rPr>
                <w:color w:val="000000"/>
                <w:sz w:val="18"/>
                <w:szCs w:val="18"/>
                <w:lang w:val="en-US"/>
              </w:rPr>
              <w:t>Wholesale Distribution</w:t>
            </w:r>
          </w:p>
        </w:tc>
      </w:tr>
      <w:tr w:rsidR="00985B1F" w:rsidRPr="00F2449F" w14:paraId="58BA0BC7" w14:textId="77777777">
        <w:tc>
          <w:tcPr>
            <w:tcW w:w="420" w:type="dxa"/>
            <w:tcBorders>
              <w:right w:val="single" w:sz="4" w:space="0" w:color="000000"/>
            </w:tcBorders>
            <w:vAlign w:val="center"/>
          </w:tcPr>
          <w:p w14:paraId="00000114" w14:textId="77777777" w:rsidR="00985B1F" w:rsidRPr="00F2449F" w:rsidRDefault="00717D17" w:rsidP="007B62B8">
            <w:pPr>
              <w:jc w:val="both"/>
              <w:rPr>
                <w:color w:val="000000"/>
                <w:sz w:val="18"/>
                <w:szCs w:val="18"/>
                <w:lang w:val="en-US"/>
              </w:rPr>
            </w:pPr>
            <w:r w:rsidRPr="00F2449F">
              <w:rPr>
                <w:color w:val="000000"/>
                <w:sz w:val="18"/>
                <w:szCs w:val="18"/>
                <w:lang w:val="en-US"/>
              </w:rPr>
              <w:t>26</w:t>
            </w:r>
          </w:p>
        </w:tc>
        <w:tc>
          <w:tcPr>
            <w:tcW w:w="2127" w:type="dxa"/>
            <w:tcBorders>
              <w:left w:val="single" w:sz="4" w:space="0" w:color="000000"/>
            </w:tcBorders>
            <w:vAlign w:val="center"/>
          </w:tcPr>
          <w:p w14:paraId="00000115" w14:textId="77777777" w:rsidR="00985B1F" w:rsidRPr="00F2449F" w:rsidRDefault="00717D17" w:rsidP="007B62B8">
            <w:pPr>
              <w:jc w:val="both"/>
              <w:rPr>
                <w:color w:val="000000"/>
                <w:sz w:val="18"/>
                <w:szCs w:val="18"/>
                <w:lang w:val="en-US"/>
              </w:rPr>
            </w:pPr>
            <w:r w:rsidRPr="00F2449F">
              <w:rPr>
                <w:color w:val="000000"/>
                <w:sz w:val="18"/>
                <w:szCs w:val="18"/>
                <w:lang w:val="en-US"/>
              </w:rPr>
              <w:t>Key Account Manager</w:t>
            </w:r>
          </w:p>
        </w:tc>
        <w:tc>
          <w:tcPr>
            <w:tcW w:w="1276" w:type="dxa"/>
            <w:vAlign w:val="center"/>
          </w:tcPr>
          <w:p w14:paraId="00000116"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117" w14:textId="77777777" w:rsidR="00985B1F" w:rsidRPr="00F2449F" w:rsidRDefault="00717D17" w:rsidP="007B62B8">
            <w:pPr>
              <w:jc w:val="both"/>
              <w:rPr>
                <w:color w:val="000000"/>
                <w:sz w:val="18"/>
                <w:szCs w:val="18"/>
                <w:lang w:val="en-US"/>
              </w:rPr>
            </w:pPr>
            <w:r w:rsidRPr="00F2449F">
              <w:rPr>
                <w:color w:val="000000"/>
                <w:sz w:val="18"/>
                <w:szCs w:val="18"/>
                <w:lang w:val="en-US"/>
              </w:rPr>
              <w:t>8</w:t>
            </w:r>
          </w:p>
        </w:tc>
        <w:tc>
          <w:tcPr>
            <w:tcW w:w="4053" w:type="dxa"/>
            <w:vAlign w:val="center"/>
          </w:tcPr>
          <w:p w14:paraId="00000118" w14:textId="77777777" w:rsidR="00985B1F" w:rsidRPr="00F2449F" w:rsidRDefault="00717D17" w:rsidP="007B62B8">
            <w:pPr>
              <w:jc w:val="both"/>
              <w:rPr>
                <w:color w:val="000000"/>
                <w:sz w:val="18"/>
                <w:szCs w:val="18"/>
                <w:lang w:val="en-US"/>
              </w:rPr>
            </w:pPr>
            <w:r w:rsidRPr="00F2449F">
              <w:rPr>
                <w:color w:val="000000"/>
                <w:sz w:val="18"/>
                <w:szCs w:val="18"/>
                <w:lang w:val="en-US"/>
              </w:rPr>
              <w:t>Life Sciences and Healthcare</w:t>
            </w:r>
          </w:p>
        </w:tc>
      </w:tr>
      <w:tr w:rsidR="00985B1F" w:rsidRPr="00F2449F" w14:paraId="7462B46C" w14:textId="77777777">
        <w:tc>
          <w:tcPr>
            <w:tcW w:w="420" w:type="dxa"/>
            <w:tcBorders>
              <w:right w:val="single" w:sz="4" w:space="0" w:color="000000"/>
            </w:tcBorders>
            <w:vAlign w:val="center"/>
          </w:tcPr>
          <w:p w14:paraId="00000119" w14:textId="77777777" w:rsidR="00985B1F" w:rsidRPr="00F2449F" w:rsidRDefault="00717D17" w:rsidP="007B62B8">
            <w:pPr>
              <w:jc w:val="both"/>
              <w:rPr>
                <w:color w:val="000000"/>
                <w:sz w:val="18"/>
                <w:szCs w:val="18"/>
                <w:lang w:val="en-US"/>
              </w:rPr>
            </w:pPr>
            <w:r w:rsidRPr="00F2449F">
              <w:rPr>
                <w:color w:val="000000"/>
                <w:sz w:val="18"/>
                <w:szCs w:val="18"/>
                <w:lang w:val="en-US"/>
              </w:rPr>
              <w:t>27</w:t>
            </w:r>
          </w:p>
        </w:tc>
        <w:tc>
          <w:tcPr>
            <w:tcW w:w="2127" w:type="dxa"/>
            <w:tcBorders>
              <w:left w:val="single" w:sz="4" w:space="0" w:color="000000"/>
            </w:tcBorders>
            <w:vAlign w:val="center"/>
          </w:tcPr>
          <w:p w14:paraId="0000011A" w14:textId="77777777" w:rsidR="00985B1F" w:rsidRPr="00F2449F" w:rsidRDefault="00717D17" w:rsidP="007B62B8">
            <w:pPr>
              <w:jc w:val="both"/>
              <w:rPr>
                <w:color w:val="000000"/>
                <w:sz w:val="18"/>
                <w:szCs w:val="18"/>
                <w:lang w:val="en-US"/>
              </w:rPr>
            </w:pPr>
            <w:r w:rsidRPr="00F2449F">
              <w:rPr>
                <w:color w:val="000000"/>
                <w:sz w:val="18"/>
                <w:szCs w:val="18"/>
                <w:lang w:val="en-US"/>
              </w:rPr>
              <w:t>CEO</w:t>
            </w:r>
          </w:p>
        </w:tc>
        <w:tc>
          <w:tcPr>
            <w:tcW w:w="1276" w:type="dxa"/>
            <w:vAlign w:val="center"/>
          </w:tcPr>
          <w:p w14:paraId="0000011B"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11C" w14:textId="77777777" w:rsidR="00985B1F" w:rsidRPr="00F2449F" w:rsidRDefault="00717D17" w:rsidP="007B62B8">
            <w:pPr>
              <w:jc w:val="both"/>
              <w:rPr>
                <w:color w:val="000000"/>
                <w:sz w:val="18"/>
                <w:szCs w:val="18"/>
                <w:lang w:val="en-US"/>
              </w:rPr>
            </w:pPr>
            <w:r w:rsidRPr="00F2449F">
              <w:rPr>
                <w:color w:val="000000"/>
                <w:sz w:val="18"/>
                <w:szCs w:val="18"/>
                <w:lang w:val="en-US"/>
              </w:rPr>
              <w:t>21</w:t>
            </w:r>
          </w:p>
        </w:tc>
        <w:tc>
          <w:tcPr>
            <w:tcW w:w="4053" w:type="dxa"/>
            <w:vAlign w:val="center"/>
          </w:tcPr>
          <w:p w14:paraId="0000011D" w14:textId="77777777" w:rsidR="00985B1F" w:rsidRPr="00F2449F" w:rsidRDefault="00717D17" w:rsidP="007B62B8">
            <w:pPr>
              <w:jc w:val="both"/>
              <w:rPr>
                <w:color w:val="000000"/>
                <w:sz w:val="18"/>
                <w:szCs w:val="18"/>
                <w:lang w:val="en-US"/>
              </w:rPr>
            </w:pPr>
            <w:r w:rsidRPr="00F2449F">
              <w:rPr>
                <w:color w:val="000000"/>
                <w:sz w:val="18"/>
                <w:szCs w:val="18"/>
                <w:lang w:val="en-US"/>
              </w:rPr>
              <w:t>Manufacturing (speed reducers)</w:t>
            </w:r>
          </w:p>
        </w:tc>
      </w:tr>
      <w:tr w:rsidR="00985B1F" w:rsidRPr="00F2449F" w14:paraId="09B078FE" w14:textId="77777777">
        <w:tc>
          <w:tcPr>
            <w:tcW w:w="420" w:type="dxa"/>
            <w:tcBorders>
              <w:right w:val="single" w:sz="4" w:space="0" w:color="000000"/>
            </w:tcBorders>
            <w:vAlign w:val="center"/>
          </w:tcPr>
          <w:p w14:paraId="0000011E" w14:textId="77777777" w:rsidR="00985B1F" w:rsidRPr="00F2449F" w:rsidRDefault="00717D17" w:rsidP="007B62B8">
            <w:pPr>
              <w:jc w:val="both"/>
              <w:rPr>
                <w:color w:val="000000"/>
                <w:sz w:val="18"/>
                <w:szCs w:val="18"/>
                <w:lang w:val="en-US"/>
              </w:rPr>
            </w:pPr>
            <w:r w:rsidRPr="00F2449F">
              <w:rPr>
                <w:color w:val="000000"/>
                <w:sz w:val="18"/>
                <w:szCs w:val="18"/>
                <w:lang w:val="en-US"/>
              </w:rPr>
              <w:t>28</w:t>
            </w:r>
          </w:p>
        </w:tc>
        <w:tc>
          <w:tcPr>
            <w:tcW w:w="2127" w:type="dxa"/>
            <w:tcBorders>
              <w:left w:val="single" w:sz="4" w:space="0" w:color="000000"/>
            </w:tcBorders>
            <w:vAlign w:val="center"/>
          </w:tcPr>
          <w:p w14:paraId="0000011F" w14:textId="77777777" w:rsidR="00985B1F" w:rsidRPr="00F2449F" w:rsidRDefault="00717D17" w:rsidP="007B62B8">
            <w:pPr>
              <w:jc w:val="both"/>
              <w:rPr>
                <w:color w:val="000000"/>
                <w:sz w:val="18"/>
                <w:szCs w:val="18"/>
                <w:lang w:val="en-US"/>
              </w:rPr>
            </w:pPr>
            <w:r w:rsidRPr="00F2449F">
              <w:rPr>
                <w:color w:val="000000"/>
                <w:sz w:val="18"/>
                <w:szCs w:val="18"/>
                <w:lang w:val="en-US"/>
              </w:rPr>
              <w:t>Area Manager</w:t>
            </w:r>
          </w:p>
        </w:tc>
        <w:tc>
          <w:tcPr>
            <w:tcW w:w="1276" w:type="dxa"/>
            <w:vAlign w:val="center"/>
          </w:tcPr>
          <w:p w14:paraId="00000120"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121" w14:textId="77777777" w:rsidR="00985B1F" w:rsidRPr="00F2449F" w:rsidRDefault="00717D17" w:rsidP="007B62B8">
            <w:pPr>
              <w:jc w:val="both"/>
              <w:rPr>
                <w:color w:val="000000"/>
                <w:sz w:val="18"/>
                <w:szCs w:val="18"/>
                <w:lang w:val="en-US"/>
              </w:rPr>
            </w:pPr>
            <w:r w:rsidRPr="00F2449F">
              <w:rPr>
                <w:color w:val="000000"/>
                <w:sz w:val="18"/>
                <w:szCs w:val="18"/>
                <w:lang w:val="en-US"/>
              </w:rPr>
              <w:t>11</w:t>
            </w:r>
          </w:p>
        </w:tc>
        <w:tc>
          <w:tcPr>
            <w:tcW w:w="4053" w:type="dxa"/>
            <w:vAlign w:val="center"/>
          </w:tcPr>
          <w:p w14:paraId="00000122" w14:textId="77777777" w:rsidR="00985B1F" w:rsidRPr="00F2449F" w:rsidRDefault="00717D17" w:rsidP="007B62B8">
            <w:pPr>
              <w:jc w:val="both"/>
              <w:rPr>
                <w:color w:val="000000"/>
                <w:sz w:val="18"/>
                <w:szCs w:val="18"/>
                <w:lang w:val="en-US"/>
              </w:rPr>
            </w:pPr>
            <w:r w:rsidRPr="00F2449F">
              <w:rPr>
                <w:color w:val="000000"/>
                <w:sz w:val="18"/>
                <w:szCs w:val="18"/>
                <w:lang w:val="en-US"/>
              </w:rPr>
              <w:t>Food and Beverage</w:t>
            </w:r>
          </w:p>
        </w:tc>
      </w:tr>
      <w:tr w:rsidR="00985B1F" w:rsidRPr="00EA736D" w14:paraId="521E4F29" w14:textId="77777777">
        <w:tc>
          <w:tcPr>
            <w:tcW w:w="420" w:type="dxa"/>
            <w:tcBorders>
              <w:right w:val="single" w:sz="4" w:space="0" w:color="000000"/>
            </w:tcBorders>
            <w:vAlign w:val="center"/>
          </w:tcPr>
          <w:p w14:paraId="00000123" w14:textId="77777777" w:rsidR="00985B1F" w:rsidRPr="00F2449F" w:rsidRDefault="00717D17" w:rsidP="007B62B8">
            <w:pPr>
              <w:jc w:val="both"/>
              <w:rPr>
                <w:color w:val="000000"/>
                <w:sz w:val="18"/>
                <w:szCs w:val="18"/>
                <w:lang w:val="en-US"/>
              </w:rPr>
            </w:pPr>
            <w:r w:rsidRPr="00F2449F">
              <w:rPr>
                <w:color w:val="000000"/>
                <w:sz w:val="18"/>
                <w:szCs w:val="18"/>
                <w:lang w:val="en-US"/>
              </w:rPr>
              <w:t>29</w:t>
            </w:r>
          </w:p>
        </w:tc>
        <w:tc>
          <w:tcPr>
            <w:tcW w:w="2127" w:type="dxa"/>
            <w:tcBorders>
              <w:left w:val="single" w:sz="4" w:space="0" w:color="000000"/>
            </w:tcBorders>
            <w:vAlign w:val="center"/>
          </w:tcPr>
          <w:p w14:paraId="00000124" w14:textId="77777777" w:rsidR="00985B1F" w:rsidRPr="00F2449F" w:rsidRDefault="00717D17" w:rsidP="007B62B8">
            <w:pPr>
              <w:jc w:val="both"/>
              <w:rPr>
                <w:color w:val="000000"/>
                <w:sz w:val="18"/>
                <w:szCs w:val="18"/>
                <w:lang w:val="en-US"/>
              </w:rPr>
            </w:pPr>
            <w:r w:rsidRPr="00F2449F">
              <w:rPr>
                <w:color w:val="000000"/>
                <w:sz w:val="18"/>
                <w:szCs w:val="18"/>
                <w:lang w:val="en-US"/>
              </w:rPr>
              <w:t>Solution Architect</w:t>
            </w:r>
          </w:p>
        </w:tc>
        <w:tc>
          <w:tcPr>
            <w:tcW w:w="1276" w:type="dxa"/>
            <w:vAlign w:val="center"/>
          </w:tcPr>
          <w:p w14:paraId="00000125"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126" w14:textId="77777777" w:rsidR="00985B1F" w:rsidRPr="00F2449F" w:rsidRDefault="00717D17" w:rsidP="007B62B8">
            <w:pPr>
              <w:jc w:val="both"/>
              <w:rPr>
                <w:color w:val="000000"/>
                <w:sz w:val="18"/>
                <w:szCs w:val="18"/>
                <w:lang w:val="en-US"/>
              </w:rPr>
            </w:pPr>
            <w:r w:rsidRPr="00F2449F">
              <w:rPr>
                <w:color w:val="000000"/>
                <w:sz w:val="18"/>
                <w:szCs w:val="18"/>
                <w:lang w:val="en-US"/>
              </w:rPr>
              <w:t>9</w:t>
            </w:r>
          </w:p>
        </w:tc>
        <w:tc>
          <w:tcPr>
            <w:tcW w:w="4053" w:type="dxa"/>
            <w:vAlign w:val="center"/>
          </w:tcPr>
          <w:p w14:paraId="00000127" w14:textId="77777777" w:rsidR="00985B1F" w:rsidRPr="00F2449F" w:rsidRDefault="00717D17" w:rsidP="007B62B8">
            <w:pPr>
              <w:jc w:val="both"/>
              <w:rPr>
                <w:color w:val="000000"/>
                <w:sz w:val="18"/>
                <w:szCs w:val="18"/>
                <w:lang w:val="en-US"/>
              </w:rPr>
            </w:pPr>
            <w:r w:rsidRPr="00F2449F">
              <w:rPr>
                <w:color w:val="000000"/>
                <w:sz w:val="18"/>
                <w:szCs w:val="18"/>
                <w:lang w:val="en-US"/>
              </w:rPr>
              <w:t>Life Sciences and Healthcare (appliances for dentistry)</w:t>
            </w:r>
          </w:p>
        </w:tc>
      </w:tr>
      <w:tr w:rsidR="00985B1F" w:rsidRPr="00F2449F" w14:paraId="6FCFBC25" w14:textId="77777777">
        <w:tc>
          <w:tcPr>
            <w:tcW w:w="420" w:type="dxa"/>
            <w:tcBorders>
              <w:right w:val="single" w:sz="4" w:space="0" w:color="000000"/>
            </w:tcBorders>
            <w:vAlign w:val="center"/>
          </w:tcPr>
          <w:p w14:paraId="00000128" w14:textId="77777777" w:rsidR="00985B1F" w:rsidRPr="00F2449F" w:rsidRDefault="00717D17" w:rsidP="007B62B8">
            <w:pPr>
              <w:jc w:val="both"/>
              <w:rPr>
                <w:color w:val="000000"/>
                <w:sz w:val="18"/>
                <w:szCs w:val="18"/>
                <w:lang w:val="en-US"/>
              </w:rPr>
            </w:pPr>
            <w:r w:rsidRPr="00F2449F">
              <w:rPr>
                <w:color w:val="000000"/>
                <w:sz w:val="18"/>
                <w:szCs w:val="18"/>
                <w:lang w:val="en-US"/>
              </w:rPr>
              <w:t>30</w:t>
            </w:r>
          </w:p>
        </w:tc>
        <w:tc>
          <w:tcPr>
            <w:tcW w:w="2127" w:type="dxa"/>
            <w:tcBorders>
              <w:left w:val="single" w:sz="4" w:space="0" w:color="000000"/>
            </w:tcBorders>
            <w:vAlign w:val="center"/>
          </w:tcPr>
          <w:p w14:paraId="00000129" w14:textId="77777777" w:rsidR="00985B1F" w:rsidRPr="00F2449F" w:rsidRDefault="00717D17" w:rsidP="007B62B8">
            <w:pPr>
              <w:jc w:val="both"/>
              <w:rPr>
                <w:color w:val="000000"/>
                <w:sz w:val="18"/>
                <w:szCs w:val="18"/>
                <w:lang w:val="en-US"/>
              </w:rPr>
            </w:pPr>
            <w:r w:rsidRPr="00F2449F">
              <w:rPr>
                <w:color w:val="000000"/>
                <w:sz w:val="18"/>
                <w:szCs w:val="18"/>
                <w:lang w:val="en-US"/>
              </w:rPr>
              <w:t>Growth Hacker</w:t>
            </w:r>
          </w:p>
        </w:tc>
        <w:tc>
          <w:tcPr>
            <w:tcW w:w="1276" w:type="dxa"/>
            <w:vAlign w:val="center"/>
          </w:tcPr>
          <w:p w14:paraId="0000012A"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12B" w14:textId="77777777" w:rsidR="00985B1F" w:rsidRPr="00F2449F" w:rsidRDefault="00985B1F" w:rsidP="007B62B8">
            <w:pPr>
              <w:jc w:val="both"/>
              <w:rPr>
                <w:color w:val="000000"/>
                <w:sz w:val="18"/>
                <w:szCs w:val="18"/>
                <w:lang w:val="en-US"/>
              </w:rPr>
            </w:pPr>
          </w:p>
        </w:tc>
        <w:tc>
          <w:tcPr>
            <w:tcW w:w="4053" w:type="dxa"/>
            <w:vAlign w:val="center"/>
          </w:tcPr>
          <w:p w14:paraId="0000012C" w14:textId="77777777" w:rsidR="00985B1F" w:rsidRPr="00F2449F" w:rsidRDefault="00717D17" w:rsidP="007B62B8">
            <w:pPr>
              <w:jc w:val="both"/>
              <w:rPr>
                <w:color w:val="000000"/>
                <w:sz w:val="18"/>
                <w:szCs w:val="18"/>
                <w:lang w:val="en-US"/>
              </w:rPr>
            </w:pPr>
            <w:r w:rsidRPr="00F2449F">
              <w:rPr>
                <w:color w:val="000000"/>
                <w:sz w:val="18"/>
                <w:szCs w:val="18"/>
                <w:lang w:val="en-US"/>
              </w:rPr>
              <w:t>Agribusiness (machinery)</w:t>
            </w:r>
          </w:p>
        </w:tc>
      </w:tr>
      <w:tr w:rsidR="00985B1F" w:rsidRPr="00F2449F" w14:paraId="0F71D8FF" w14:textId="77777777">
        <w:tc>
          <w:tcPr>
            <w:tcW w:w="420" w:type="dxa"/>
            <w:tcBorders>
              <w:right w:val="single" w:sz="4" w:space="0" w:color="000000"/>
            </w:tcBorders>
            <w:vAlign w:val="center"/>
          </w:tcPr>
          <w:p w14:paraId="0000012D" w14:textId="77777777" w:rsidR="00985B1F" w:rsidRPr="00F2449F" w:rsidRDefault="00717D17" w:rsidP="007B62B8">
            <w:pPr>
              <w:jc w:val="both"/>
              <w:rPr>
                <w:color w:val="000000"/>
                <w:sz w:val="18"/>
                <w:szCs w:val="18"/>
                <w:lang w:val="en-US"/>
              </w:rPr>
            </w:pPr>
            <w:r w:rsidRPr="00F2449F">
              <w:rPr>
                <w:color w:val="000000"/>
                <w:sz w:val="18"/>
                <w:szCs w:val="18"/>
                <w:lang w:val="en-US"/>
              </w:rPr>
              <w:t>31</w:t>
            </w:r>
          </w:p>
        </w:tc>
        <w:tc>
          <w:tcPr>
            <w:tcW w:w="2127" w:type="dxa"/>
            <w:tcBorders>
              <w:left w:val="single" w:sz="4" w:space="0" w:color="000000"/>
            </w:tcBorders>
            <w:vAlign w:val="center"/>
          </w:tcPr>
          <w:p w14:paraId="0000012E" w14:textId="77777777" w:rsidR="00985B1F" w:rsidRPr="00F2449F" w:rsidRDefault="00717D17" w:rsidP="007B62B8">
            <w:pPr>
              <w:jc w:val="both"/>
              <w:rPr>
                <w:color w:val="000000"/>
                <w:sz w:val="18"/>
                <w:szCs w:val="18"/>
                <w:lang w:val="en-US"/>
              </w:rPr>
            </w:pPr>
            <w:r w:rsidRPr="00F2449F">
              <w:rPr>
                <w:color w:val="000000"/>
                <w:sz w:val="18"/>
                <w:szCs w:val="18"/>
                <w:lang w:val="en-US"/>
              </w:rPr>
              <w:t>Customer Innovation Manager</w:t>
            </w:r>
          </w:p>
        </w:tc>
        <w:tc>
          <w:tcPr>
            <w:tcW w:w="1276" w:type="dxa"/>
            <w:vAlign w:val="center"/>
          </w:tcPr>
          <w:p w14:paraId="0000012F"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130" w14:textId="77777777" w:rsidR="00985B1F" w:rsidRPr="00F2449F" w:rsidRDefault="00717D17" w:rsidP="007B62B8">
            <w:pPr>
              <w:jc w:val="both"/>
              <w:rPr>
                <w:color w:val="000000"/>
                <w:sz w:val="18"/>
                <w:szCs w:val="18"/>
                <w:lang w:val="en-US"/>
              </w:rPr>
            </w:pPr>
            <w:r w:rsidRPr="00F2449F">
              <w:rPr>
                <w:color w:val="000000"/>
                <w:sz w:val="18"/>
                <w:szCs w:val="18"/>
                <w:lang w:val="en-US"/>
              </w:rPr>
              <w:t>8</w:t>
            </w:r>
          </w:p>
        </w:tc>
        <w:tc>
          <w:tcPr>
            <w:tcW w:w="4053" w:type="dxa"/>
            <w:vAlign w:val="center"/>
          </w:tcPr>
          <w:p w14:paraId="00000131" w14:textId="77777777" w:rsidR="00985B1F" w:rsidRPr="00F2449F" w:rsidRDefault="00717D17" w:rsidP="007B62B8">
            <w:pPr>
              <w:jc w:val="both"/>
              <w:rPr>
                <w:color w:val="000000"/>
                <w:sz w:val="18"/>
                <w:szCs w:val="18"/>
                <w:lang w:val="en-US"/>
              </w:rPr>
            </w:pPr>
            <w:r w:rsidRPr="00F2449F">
              <w:rPr>
                <w:color w:val="000000"/>
                <w:sz w:val="18"/>
                <w:szCs w:val="18"/>
                <w:lang w:val="en-US"/>
              </w:rPr>
              <w:t>Logistics</w:t>
            </w:r>
          </w:p>
        </w:tc>
      </w:tr>
      <w:tr w:rsidR="00985B1F" w:rsidRPr="00F2449F" w14:paraId="1D9E645D" w14:textId="77777777">
        <w:tc>
          <w:tcPr>
            <w:tcW w:w="420" w:type="dxa"/>
            <w:tcBorders>
              <w:right w:val="single" w:sz="4" w:space="0" w:color="000000"/>
            </w:tcBorders>
            <w:vAlign w:val="center"/>
          </w:tcPr>
          <w:p w14:paraId="00000132" w14:textId="77777777" w:rsidR="00985B1F" w:rsidRPr="00F2449F" w:rsidRDefault="00717D17" w:rsidP="007B62B8">
            <w:pPr>
              <w:jc w:val="both"/>
              <w:rPr>
                <w:color w:val="000000"/>
                <w:sz w:val="18"/>
                <w:szCs w:val="18"/>
                <w:lang w:val="en-US"/>
              </w:rPr>
            </w:pPr>
            <w:r w:rsidRPr="00F2449F">
              <w:rPr>
                <w:color w:val="000000"/>
                <w:sz w:val="18"/>
                <w:szCs w:val="18"/>
                <w:lang w:val="en-US"/>
              </w:rPr>
              <w:t>32</w:t>
            </w:r>
          </w:p>
        </w:tc>
        <w:tc>
          <w:tcPr>
            <w:tcW w:w="2127" w:type="dxa"/>
            <w:tcBorders>
              <w:left w:val="single" w:sz="4" w:space="0" w:color="000000"/>
            </w:tcBorders>
            <w:vAlign w:val="center"/>
          </w:tcPr>
          <w:p w14:paraId="00000133" w14:textId="77777777" w:rsidR="00985B1F" w:rsidRPr="00F2449F" w:rsidRDefault="00717D17" w:rsidP="007B62B8">
            <w:pPr>
              <w:jc w:val="both"/>
              <w:rPr>
                <w:color w:val="000000"/>
                <w:sz w:val="18"/>
                <w:szCs w:val="18"/>
                <w:lang w:val="en-US"/>
              </w:rPr>
            </w:pPr>
            <w:r w:rsidRPr="00F2449F">
              <w:rPr>
                <w:color w:val="000000"/>
                <w:sz w:val="18"/>
                <w:szCs w:val="18"/>
                <w:lang w:val="en-US"/>
              </w:rPr>
              <w:t>Business Developer</w:t>
            </w:r>
          </w:p>
        </w:tc>
        <w:tc>
          <w:tcPr>
            <w:tcW w:w="1276" w:type="dxa"/>
            <w:vAlign w:val="center"/>
          </w:tcPr>
          <w:p w14:paraId="00000134"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135" w14:textId="77777777" w:rsidR="00985B1F" w:rsidRPr="00F2449F" w:rsidRDefault="00717D17" w:rsidP="007B62B8">
            <w:pPr>
              <w:jc w:val="both"/>
              <w:rPr>
                <w:color w:val="000000"/>
                <w:sz w:val="18"/>
                <w:szCs w:val="18"/>
                <w:lang w:val="en-US"/>
              </w:rPr>
            </w:pPr>
            <w:r w:rsidRPr="00F2449F">
              <w:rPr>
                <w:color w:val="000000"/>
                <w:sz w:val="18"/>
                <w:szCs w:val="18"/>
                <w:lang w:val="en-US"/>
              </w:rPr>
              <w:t>7</w:t>
            </w:r>
          </w:p>
        </w:tc>
        <w:tc>
          <w:tcPr>
            <w:tcW w:w="4053" w:type="dxa"/>
            <w:vAlign w:val="center"/>
          </w:tcPr>
          <w:p w14:paraId="00000136" w14:textId="77777777" w:rsidR="00985B1F" w:rsidRPr="00F2449F" w:rsidRDefault="00717D17" w:rsidP="007B62B8">
            <w:pPr>
              <w:jc w:val="both"/>
              <w:rPr>
                <w:color w:val="000000"/>
                <w:sz w:val="18"/>
                <w:szCs w:val="18"/>
                <w:lang w:val="en-US"/>
              </w:rPr>
            </w:pPr>
            <w:r w:rsidRPr="00F2449F">
              <w:rPr>
                <w:color w:val="000000"/>
                <w:sz w:val="18"/>
                <w:szCs w:val="18"/>
                <w:lang w:val="en-US"/>
              </w:rPr>
              <w:t>ICT Security Services</w:t>
            </w:r>
          </w:p>
        </w:tc>
      </w:tr>
      <w:tr w:rsidR="00985B1F" w:rsidRPr="00F2449F" w14:paraId="607D0053" w14:textId="77777777">
        <w:tc>
          <w:tcPr>
            <w:tcW w:w="420" w:type="dxa"/>
            <w:tcBorders>
              <w:right w:val="single" w:sz="4" w:space="0" w:color="000000"/>
            </w:tcBorders>
            <w:vAlign w:val="center"/>
          </w:tcPr>
          <w:p w14:paraId="00000137" w14:textId="77777777" w:rsidR="00985B1F" w:rsidRPr="00F2449F" w:rsidRDefault="00717D17" w:rsidP="007B62B8">
            <w:pPr>
              <w:jc w:val="both"/>
              <w:rPr>
                <w:color w:val="000000"/>
                <w:sz w:val="18"/>
                <w:szCs w:val="18"/>
                <w:lang w:val="en-US"/>
              </w:rPr>
            </w:pPr>
            <w:r w:rsidRPr="00F2449F">
              <w:rPr>
                <w:color w:val="000000"/>
                <w:sz w:val="18"/>
                <w:szCs w:val="18"/>
                <w:lang w:val="en-US"/>
              </w:rPr>
              <w:t>33</w:t>
            </w:r>
          </w:p>
        </w:tc>
        <w:tc>
          <w:tcPr>
            <w:tcW w:w="2127" w:type="dxa"/>
            <w:tcBorders>
              <w:left w:val="single" w:sz="4" w:space="0" w:color="000000"/>
            </w:tcBorders>
            <w:vAlign w:val="center"/>
          </w:tcPr>
          <w:p w14:paraId="00000138" w14:textId="77777777" w:rsidR="00985B1F" w:rsidRPr="00F2449F" w:rsidRDefault="00717D17" w:rsidP="007B62B8">
            <w:pPr>
              <w:jc w:val="both"/>
              <w:rPr>
                <w:color w:val="000000"/>
                <w:sz w:val="18"/>
                <w:szCs w:val="18"/>
                <w:lang w:val="en-US"/>
              </w:rPr>
            </w:pPr>
            <w:r w:rsidRPr="00F2449F">
              <w:rPr>
                <w:color w:val="000000"/>
                <w:sz w:val="18"/>
                <w:szCs w:val="18"/>
                <w:lang w:val="en-US"/>
              </w:rPr>
              <w:t>Chief Marketing Officer</w:t>
            </w:r>
          </w:p>
        </w:tc>
        <w:tc>
          <w:tcPr>
            <w:tcW w:w="1276" w:type="dxa"/>
            <w:vAlign w:val="center"/>
          </w:tcPr>
          <w:p w14:paraId="00000139"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13A" w14:textId="77777777" w:rsidR="00985B1F" w:rsidRPr="00F2449F" w:rsidRDefault="00717D17" w:rsidP="007B62B8">
            <w:pPr>
              <w:jc w:val="both"/>
              <w:rPr>
                <w:color w:val="000000"/>
                <w:sz w:val="18"/>
                <w:szCs w:val="18"/>
                <w:lang w:val="en-US"/>
              </w:rPr>
            </w:pPr>
            <w:r w:rsidRPr="00F2449F">
              <w:rPr>
                <w:color w:val="000000"/>
                <w:sz w:val="18"/>
                <w:szCs w:val="18"/>
                <w:lang w:val="en-US"/>
              </w:rPr>
              <w:t>20</w:t>
            </w:r>
          </w:p>
        </w:tc>
        <w:tc>
          <w:tcPr>
            <w:tcW w:w="4053" w:type="dxa"/>
            <w:vAlign w:val="center"/>
          </w:tcPr>
          <w:p w14:paraId="0000013B" w14:textId="77777777" w:rsidR="00985B1F" w:rsidRPr="00F2449F" w:rsidRDefault="00717D17" w:rsidP="007B62B8">
            <w:pPr>
              <w:jc w:val="both"/>
              <w:rPr>
                <w:color w:val="000000"/>
                <w:sz w:val="18"/>
                <w:szCs w:val="18"/>
                <w:lang w:val="en-US"/>
              </w:rPr>
            </w:pPr>
            <w:r w:rsidRPr="00F2449F">
              <w:rPr>
                <w:color w:val="000000"/>
                <w:sz w:val="18"/>
                <w:szCs w:val="18"/>
                <w:lang w:val="en-US"/>
              </w:rPr>
              <w:t>Wholesale Distribution</w:t>
            </w:r>
          </w:p>
        </w:tc>
      </w:tr>
      <w:tr w:rsidR="00985B1F" w:rsidRPr="00F2449F" w14:paraId="3682675D" w14:textId="77777777">
        <w:tc>
          <w:tcPr>
            <w:tcW w:w="420" w:type="dxa"/>
            <w:tcBorders>
              <w:right w:val="single" w:sz="4" w:space="0" w:color="000000"/>
            </w:tcBorders>
            <w:vAlign w:val="center"/>
          </w:tcPr>
          <w:p w14:paraId="0000013C" w14:textId="77777777" w:rsidR="00985B1F" w:rsidRPr="00F2449F" w:rsidRDefault="00717D17" w:rsidP="007B62B8">
            <w:pPr>
              <w:jc w:val="both"/>
              <w:rPr>
                <w:color w:val="000000"/>
                <w:sz w:val="18"/>
                <w:szCs w:val="18"/>
                <w:lang w:val="en-US"/>
              </w:rPr>
            </w:pPr>
            <w:r w:rsidRPr="00F2449F">
              <w:rPr>
                <w:color w:val="000000"/>
                <w:sz w:val="18"/>
                <w:szCs w:val="18"/>
                <w:lang w:val="en-US"/>
              </w:rPr>
              <w:t>34</w:t>
            </w:r>
          </w:p>
        </w:tc>
        <w:tc>
          <w:tcPr>
            <w:tcW w:w="2127" w:type="dxa"/>
            <w:tcBorders>
              <w:left w:val="single" w:sz="4" w:space="0" w:color="000000"/>
            </w:tcBorders>
            <w:vAlign w:val="center"/>
          </w:tcPr>
          <w:p w14:paraId="0000013D" w14:textId="77777777" w:rsidR="00985B1F" w:rsidRPr="00F2449F" w:rsidRDefault="00717D17" w:rsidP="007B62B8">
            <w:pPr>
              <w:jc w:val="both"/>
              <w:rPr>
                <w:color w:val="000000"/>
                <w:sz w:val="18"/>
                <w:szCs w:val="18"/>
                <w:lang w:val="en-US"/>
              </w:rPr>
            </w:pPr>
            <w:r w:rsidRPr="00F2449F">
              <w:rPr>
                <w:color w:val="000000"/>
                <w:sz w:val="18"/>
                <w:szCs w:val="18"/>
                <w:lang w:val="en-US"/>
              </w:rPr>
              <w:t>Customer Experience Manager</w:t>
            </w:r>
          </w:p>
        </w:tc>
        <w:tc>
          <w:tcPr>
            <w:tcW w:w="1276" w:type="dxa"/>
            <w:vAlign w:val="center"/>
          </w:tcPr>
          <w:p w14:paraId="0000013E"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13F" w14:textId="77777777" w:rsidR="00985B1F" w:rsidRPr="00F2449F" w:rsidRDefault="00717D17" w:rsidP="007B62B8">
            <w:pPr>
              <w:jc w:val="both"/>
              <w:rPr>
                <w:color w:val="000000"/>
                <w:sz w:val="18"/>
                <w:szCs w:val="18"/>
                <w:lang w:val="en-US"/>
              </w:rPr>
            </w:pPr>
            <w:r w:rsidRPr="00F2449F">
              <w:rPr>
                <w:color w:val="000000"/>
                <w:sz w:val="18"/>
                <w:szCs w:val="18"/>
                <w:lang w:val="en-US"/>
              </w:rPr>
              <w:t>7</w:t>
            </w:r>
          </w:p>
        </w:tc>
        <w:tc>
          <w:tcPr>
            <w:tcW w:w="4053" w:type="dxa"/>
            <w:vAlign w:val="center"/>
          </w:tcPr>
          <w:p w14:paraId="00000140" w14:textId="77777777" w:rsidR="00985B1F" w:rsidRPr="00F2449F" w:rsidRDefault="00717D17" w:rsidP="007B62B8">
            <w:pPr>
              <w:jc w:val="both"/>
              <w:rPr>
                <w:color w:val="000000"/>
                <w:sz w:val="18"/>
                <w:szCs w:val="18"/>
                <w:lang w:val="en-US"/>
              </w:rPr>
            </w:pPr>
            <w:r w:rsidRPr="00F2449F">
              <w:rPr>
                <w:color w:val="000000"/>
                <w:sz w:val="18"/>
                <w:szCs w:val="18"/>
                <w:lang w:val="en-US"/>
              </w:rPr>
              <w:t>B2B Marketplace</w:t>
            </w:r>
          </w:p>
        </w:tc>
      </w:tr>
      <w:tr w:rsidR="00985B1F" w:rsidRPr="00EA736D" w14:paraId="43C43440" w14:textId="77777777">
        <w:tc>
          <w:tcPr>
            <w:tcW w:w="420" w:type="dxa"/>
            <w:tcBorders>
              <w:right w:val="single" w:sz="4" w:space="0" w:color="000000"/>
            </w:tcBorders>
            <w:vAlign w:val="center"/>
          </w:tcPr>
          <w:p w14:paraId="00000141" w14:textId="77777777" w:rsidR="00985B1F" w:rsidRPr="00F2449F" w:rsidRDefault="00717D17" w:rsidP="007B62B8">
            <w:pPr>
              <w:jc w:val="both"/>
              <w:rPr>
                <w:color w:val="000000"/>
                <w:sz w:val="18"/>
                <w:szCs w:val="18"/>
                <w:lang w:val="en-US"/>
              </w:rPr>
            </w:pPr>
            <w:r w:rsidRPr="00F2449F">
              <w:rPr>
                <w:color w:val="000000"/>
                <w:sz w:val="18"/>
                <w:szCs w:val="18"/>
                <w:lang w:val="en-US"/>
              </w:rPr>
              <w:t>35</w:t>
            </w:r>
          </w:p>
        </w:tc>
        <w:tc>
          <w:tcPr>
            <w:tcW w:w="2127" w:type="dxa"/>
            <w:tcBorders>
              <w:left w:val="single" w:sz="4" w:space="0" w:color="000000"/>
            </w:tcBorders>
            <w:vAlign w:val="center"/>
          </w:tcPr>
          <w:p w14:paraId="00000142" w14:textId="77777777" w:rsidR="00985B1F" w:rsidRPr="00F2449F" w:rsidRDefault="00717D17" w:rsidP="007B62B8">
            <w:pPr>
              <w:jc w:val="both"/>
              <w:rPr>
                <w:color w:val="000000"/>
                <w:sz w:val="18"/>
                <w:szCs w:val="18"/>
                <w:lang w:val="en-US"/>
              </w:rPr>
            </w:pPr>
            <w:r w:rsidRPr="00F2449F">
              <w:rPr>
                <w:color w:val="000000"/>
                <w:sz w:val="18"/>
                <w:szCs w:val="18"/>
                <w:lang w:val="en-US"/>
              </w:rPr>
              <w:t>Sales &amp; Marketing Manager</w:t>
            </w:r>
          </w:p>
        </w:tc>
        <w:tc>
          <w:tcPr>
            <w:tcW w:w="1276" w:type="dxa"/>
            <w:vAlign w:val="center"/>
          </w:tcPr>
          <w:p w14:paraId="00000143"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144" w14:textId="77777777" w:rsidR="00985B1F" w:rsidRPr="00F2449F" w:rsidRDefault="00717D17" w:rsidP="007B62B8">
            <w:pPr>
              <w:jc w:val="both"/>
              <w:rPr>
                <w:color w:val="000000"/>
                <w:sz w:val="18"/>
                <w:szCs w:val="18"/>
                <w:lang w:val="en-US"/>
              </w:rPr>
            </w:pPr>
            <w:r w:rsidRPr="00F2449F">
              <w:rPr>
                <w:color w:val="000000"/>
                <w:sz w:val="18"/>
                <w:szCs w:val="18"/>
                <w:lang w:val="en-US"/>
              </w:rPr>
              <w:t>9</w:t>
            </w:r>
          </w:p>
        </w:tc>
        <w:tc>
          <w:tcPr>
            <w:tcW w:w="4053" w:type="dxa"/>
            <w:vAlign w:val="center"/>
          </w:tcPr>
          <w:p w14:paraId="00000145" w14:textId="77777777" w:rsidR="00985B1F" w:rsidRPr="00F2449F" w:rsidRDefault="00717D17" w:rsidP="007B62B8">
            <w:pPr>
              <w:jc w:val="both"/>
              <w:rPr>
                <w:color w:val="000000"/>
                <w:sz w:val="18"/>
                <w:szCs w:val="18"/>
                <w:lang w:val="en-US"/>
              </w:rPr>
            </w:pPr>
            <w:r w:rsidRPr="00F2449F">
              <w:rPr>
                <w:color w:val="000000"/>
                <w:sz w:val="18"/>
                <w:szCs w:val="18"/>
                <w:lang w:val="en-US"/>
              </w:rPr>
              <w:t>Communication and Marketing Consulting (agency)</w:t>
            </w:r>
          </w:p>
        </w:tc>
      </w:tr>
      <w:tr w:rsidR="00985B1F" w:rsidRPr="00F2449F" w14:paraId="59155071" w14:textId="77777777">
        <w:tc>
          <w:tcPr>
            <w:tcW w:w="420" w:type="dxa"/>
            <w:tcBorders>
              <w:right w:val="single" w:sz="4" w:space="0" w:color="000000"/>
            </w:tcBorders>
            <w:vAlign w:val="center"/>
          </w:tcPr>
          <w:p w14:paraId="00000146" w14:textId="77777777" w:rsidR="00985B1F" w:rsidRPr="00F2449F" w:rsidRDefault="00717D17" w:rsidP="007B62B8">
            <w:pPr>
              <w:jc w:val="both"/>
              <w:rPr>
                <w:color w:val="000000"/>
                <w:sz w:val="18"/>
                <w:szCs w:val="18"/>
                <w:lang w:val="en-US"/>
              </w:rPr>
            </w:pPr>
            <w:r w:rsidRPr="00F2449F">
              <w:rPr>
                <w:color w:val="000000"/>
                <w:sz w:val="18"/>
                <w:szCs w:val="18"/>
                <w:lang w:val="en-US"/>
              </w:rPr>
              <w:t>36</w:t>
            </w:r>
          </w:p>
        </w:tc>
        <w:tc>
          <w:tcPr>
            <w:tcW w:w="2127" w:type="dxa"/>
            <w:tcBorders>
              <w:left w:val="single" w:sz="4" w:space="0" w:color="000000"/>
            </w:tcBorders>
            <w:vAlign w:val="center"/>
          </w:tcPr>
          <w:p w14:paraId="00000147" w14:textId="77777777" w:rsidR="00985B1F" w:rsidRPr="00F2449F" w:rsidRDefault="00717D17" w:rsidP="007B62B8">
            <w:pPr>
              <w:jc w:val="both"/>
              <w:rPr>
                <w:color w:val="000000"/>
                <w:sz w:val="18"/>
                <w:szCs w:val="18"/>
                <w:lang w:val="en-US"/>
              </w:rPr>
            </w:pPr>
            <w:r w:rsidRPr="00F2449F">
              <w:rPr>
                <w:color w:val="000000"/>
                <w:sz w:val="18"/>
                <w:szCs w:val="18"/>
                <w:lang w:val="en-US"/>
              </w:rPr>
              <w:t>Sales Manager</w:t>
            </w:r>
          </w:p>
        </w:tc>
        <w:tc>
          <w:tcPr>
            <w:tcW w:w="1276" w:type="dxa"/>
            <w:vAlign w:val="center"/>
          </w:tcPr>
          <w:p w14:paraId="00000148"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149" w14:textId="77777777" w:rsidR="00985B1F" w:rsidRPr="00F2449F" w:rsidRDefault="00717D17" w:rsidP="007B62B8">
            <w:pPr>
              <w:jc w:val="both"/>
              <w:rPr>
                <w:color w:val="000000"/>
                <w:sz w:val="18"/>
                <w:szCs w:val="18"/>
                <w:lang w:val="en-US"/>
              </w:rPr>
            </w:pPr>
            <w:r w:rsidRPr="00F2449F">
              <w:rPr>
                <w:color w:val="000000"/>
                <w:sz w:val="18"/>
                <w:szCs w:val="18"/>
                <w:lang w:val="en-US"/>
              </w:rPr>
              <w:t>11</w:t>
            </w:r>
          </w:p>
        </w:tc>
        <w:tc>
          <w:tcPr>
            <w:tcW w:w="4053" w:type="dxa"/>
            <w:vAlign w:val="center"/>
          </w:tcPr>
          <w:p w14:paraId="0000014A" w14:textId="77777777" w:rsidR="00985B1F" w:rsidRPr="00F2449F" w:rsidRDefault="00717D17" w:rsidP="007B62B8">
            <w:pPr>
              <w:jc w:val="both"/>
              <w:rPr>
                <w:color w:val="000000"/>
                <w:sz w:val="18"/>
                <w:szCs w:val="18"/>
                <w:lang w:val="en-US"/>
              </w:rPr>
            </w:pPr>
            <w:r w:rsidRPr="00F2449F">
              <w:rPr>
                <w:color w:val="000000"/>
                <w:sz w:val="18"/>
                <w:szCs w:val="18"/>
                <w:lang w:val="en-US"/>
              </w:rPr>
              <w:t xml:space="preserve">Mechanicals </w:t>
            </w:r>
          </w:p>
        </w:tc>
      </w:tr>
      <w:tr w:rsidR="00985B1F" w:rsidRPr="00F2449F" w14:paraId="21BBED0C" w14:textId="77777777">
        <w:tc>
          <w:tcPr>
            <w:tcW w:w="420" w:type="dxa"/>
            <w:tcBorders>
              <w:right w:val="single" w:sz="4" w:space="0" w:color="000000"/>
            </w:tcBorders>
            <w:vAlign w:val="center"/>
          </w:tcPr>
          <w:p w14:paraId="0000014B" w14:textId="77777777" w:rsidR="00985B1F" w:rsidRPr="00F2449F" w:rsidRDefault="00717D17" w:rsidP="007B62B8">
            <w:pPr>
              <w:jc w:val="both"/>
              <w:rPr>
                <w:color w:val="000000"/>
                <w:sz w:val="18"/>
                <w:szCs w:val="18"/>
                <w:lang w:val="en-US"/>
              </w:rPr>
            </w:pPr>
            <w:r w:rsidRPr="00F2449F">
              <w:rPr>
                <w:color w:val="000000"/>
                <w:sz w:val="18"/>
                <w:szCs w:val="18"/>
                <w:lang w:val="en-US"/>
              </w:rPr>
              <w:lastRenderedPageBreak/>
              <w:t>37</w:t>
            </w:r>
          </w:p>
        </w:tc>
        <w:tc>
          <w:tcPr>
            <w:tcW w:w="2127" w:type="dxa"/>
            <w:tcBorders>
              <w:left w:val="single" w:sz="4" w:space="0" w:color="000000"/>
            </w:tcBorders>
            <w:vAlign w:val="center"/>
          </w:tcPr>
          <w:p w14:paraId="0000014C" w14:textId="77777777" w:rsidR="00985B1F" w:rsidRPr="00F2449F" w:rsidRDefault="00717D17" w:rsidP="007B62B8">
            <w:pPr>
              <w:jc w:val="both"/>
              <w:rPr>
                <w:color w:val="000000"/>
                <w:sz w:val="18"/>
                <w:szCs w:val="18"/>
                <w:lang w:val="en-US"/>
              </w:rPr>
            </w:pPr>
            <w:r w:rsidRPr="00F2449F">
              <w:rPr>
                <w:color w:val="000000"/>
                <w:sz w:val="18"/>
                <w:szCs w:val="18"/>
                <w:lang w:val="en-US"/>
              </w:rPr>
              <w:t>EMEA Marketing Manager</w:t>
            </w:r>
          </w:p>
        </w:tc>
        <w:tc>
          <w:tcPr>
            <w:tcW w:w="1276" w:type="dxa"/>
            <w:vAlign w:val="center"/>
          </w:tcPr>
          <w:p w14:paraId="0000014D"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14E" w14:textId="77777777" w:rsidR="00985B1F" w:rsidRPr="00F2449F" w:rsidRDefault="00717D17" w:rsidP="007B62B8">
            <w:pPr>
              <w:jc w:val="both"/>
              <w:rPr>
                <w:color w:val="000000"/>
                <w:sz w:val="18"/>
                <w:szCs w:val="18"/>
                <w:lang w:val="en-US"/>
              </w:rPr>
            </w:pPr>
            <w:r w:rsidRPr="00F2449F">
              <w:rPr>
                <w:color w:val="000000"/>
                <w:sz w:val="18"/>
                <w:szCs w:val="18"/>
                <w:lang w:val="en-US"/>
              </w:rPr>
              <w:t>14</w:t>
            </w:r>
          </w:p>
        </w:tc>
        <w:tc>
          <w:tcPr>
            <w:tcW w:w="4053" w:type="dxa"/>
            <w:vAlign w:val="center"/>
          </w:tcPr>
          <w:p w14:paraId="0000014F" w14:textId="77777777" w:rsidR="00985B1F" w:rsidRPr="00F2449F" w:rsidRDefault="00717D17" w:rsidP="007B62B8">
            <w:pPr>
              <w:jc w:val="both"/>
              <w:rPr>
                <w:color w:val="000000"/>
                <w:sz w:val="18"/>
                <w:szCs w:val="18"/>
                <w:lang w:val="en-US"/>
              </w:rPr>
            </w:pPr>
            <w:r w:rsidRPr="00F2449F">
              <w:rPr>
                <w:color w:val="000000"/>
                <w:sz w:val="18"/>
                <w:szCs w:val="18"/>
                <w:lang w:val="en-US"/>
              </w:rPr>
              <w:t>Pharmaceutical</w:t>
            </w:r>
          </w:p>
        </w:tc>
      </w:tr>
      <w:tr w:rsidR="00985B1F" w:rsidRPr="00F2449F" w14:paraId="4181B1B6" w14:textId="77777777">
        <w:tc>
          <w:tcPr>
            <w:tcW w:w="420" w:type="dxa"/>
            <w:tcBorders>
              <w:right w:val="single" w:sz="4" w:space="0" w:color="000000"/>
            </w:tcBorders>
            <w:vAlign w:val="center"/>
          </w:tcPr>
          <w:p w14:paraId="00000150" w14:textId="77777777" w:rsidR="00985B1F" w:rsidRPr="00F2449F" w:rsidRDefault="00717D17" w:rsidP="007B62B8">
            <w:pPr>
              <w:jc w:val="both"/>
              <w:rPr>
                <w:color w:val="000000"/>
                <w:sz w:val="18"/>
                <w:szCs w:val="18"/>
                <w:lang w:val="en-US"/>
              </w:rPr>
            </w:pPr>
            <w:r w:rsidRPr="00F2449F">
              <w:rPr>
                <w:color w:val="000000"/>
                <w:sz w:val="18"/>
                <w:szCs w:val="18"/>
                <w:lang w:val="en-US"/>
              </w:rPr>
              <w:t>38</w:t>
            </w:r>
          </w:p>
        </w:tc>
        <w:tc>
          <w:tcPr>
            <w:tcW w:w="2127" w:type="dxa"/>
            <w:tcBorders>
              <w:left w:val="single" w:sz="4" w:space="0" w:color="000000"/>
            </w:tcBorders>
            <w:vAlign w:val="center"/>
          </w:tcPr>
          <w:p w14:paraId="00000151" w14:textId="77777777" w:rsidR="00985B1F" w:rsidRPr="00F2449F" w:rsidRDefault="00717D17" w:rsidP="007B62B8">
            <w:pPr>
              <w:jc w:val="both"/>
              <w:rPr>
                <w:color w:val="000000"/>
                <w:sz w:val="18"/>
                <w:szCs w:val="18"/>
                <w:lang w:val="en-US"/>
              </w:rPr>
            </w:pPr>
            <w:r w:rsidRPr="00F2449F">
              <w:rPr>
                <w:color w:val="000000"/>
                <w:sz w:val="18"/>
                <w:szCs w:val="18"/>
                <w:lang w:val="en-US"/>
              </w:rPr>
              <w:t>CEO</w:t>
            </w:r>
          </w:p>
        </w:tc>
        <w:tc>
          <w:tcPr>
            <w:tcW w:w="1276" w:type="dxa"/>
            <w:vAlign w:val="center"/>
          </w:tcPr>
          <w:p w14:paraId="00000152"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153" w14:textId="77777777" w:rsidR="00985B1F" w:rsidRPr="00F2449F" w:rsidRDefault="00717D17" w:rsidP="007B62B8">
            <w:pPr>
              <w:jc w:val="both"/>
              <w:rPr>
                <w:color w:val="000000"/>
                <w:sz w:val="18"/>
                <w:szCs w:val="18"/>
                <w:lang w:val="en-US"/>
              </w:rPr>
            </w:pPr>
            <w:r w:rsidRPr="00F2449F">
              <w:rPr>
                <w:color w:val="000000"/>
                <w:sz w:val="18"/>
                <w:szCs w:val="18"/>
                <w:lang w:val="en-US"/>
              </w:rPr>
              <w:t>25</w:t>
            </w:r>
          </w:p>
        </w:tc>
        <w:tc>
          <w:tcPr>
            <w:tcW w:w="4053" w:type="dxa"/>
            <w:vAlign w:val="center"/>
          </w:tcPr>
          <w:p w14:paraId="00000154" w14:textId="77777777" w:rsidR="00985B1F" w:rsidRPr="00F2449F" w:rsidRDefault="00717D17" w:rsidP="007B62B8">
            <w:pPr>
              <w:jc w:val="both"/>
              <w:rPr>
                <w:color w:val="000000"/>
                <w:sz w:val="18"/>
                <w:szCs w:val="18"/>
                <w:lang w:val="en-US"/>
              </w:rPr>
            </w:pPr>
            <w:r w:rsidRPr="00F2449F">
              <w:rPr>
                <w:color w:val="000000"/>
                <w:sz w:val="18"/>
                <w:szCs w:val="18"/>
                <w:lang w:val="en-US"/>
              </w:rPr>
              <w:t>Life Sciences and Healthcare</w:t>
            </w:r>
          </w:p>
        </w:tc>
      </w:tr>
      <w:tr w:rsidR="00985B1F" w:rsidRPr="00F2449F" w14:paraId="278B707B" w14:textId="77777777">
        <w:tc>
          <w:tcPr>
            <w:tcW w:w="420" w:type="dxa"/>
            <w:tcBorders>
              <w:right w:val="single" w:sz="4" w:space="0" w:color="000000"/>
            </w:tcBorders>
            <w:vAlign w:val="center"/>
          </w:tcPr>
          <w:p w14:paraId="00000155" w14:textId="77777777" w:rsidR="00985B1F" w:rsidRPr="00F2449F" w:rsidRDefault="00717D17" w:rsidP="007B62B8">
            <w:pPr>
              <w:jc w:val="both"/>
              <w:rPr>
                <w:color w:val="000000"/>
                <w:sz w:val="18"/>
                <w:szCs w:val="18"/>
                <w:lang w:val="en-US"/>
              </w:rPr>
            </w:pPr>
            <w:r w:rsidRPr="00F2449F">
              <w:rPr>
                <w:color w:val="000000"/>
                <w:sz w:val="18"/>
                <w:szCs w:val="18"/>
                <w:lang w:val="en-US"/>
              </w:rPr>
              <w:t>39</w:t>
            </w:r>
          </w:p>
        </w:tc>
        <w:tc>
          <w:tcPr>
            <w:tcW w:w="2127" w:type="dxa"/>
            <w:tcBorders>
              <w:left w:val="single" w:sz="4" w:space="0" w:color="000000"/>
            </w:tcBorders>
            <w:vAlign w:val="center"/>
          </w:tcPr>
          <w:p w14:paraId="00000156" w14:textId="77777777" w:rsidR="00985B1F" w:rsidRPr="00F2449F" w:rsidRDefault="00717D17" w:rsidP="007B62B8">
            <w:pPr>
              <w:jc w:val="both"/>
              <w:rPr>
                <w:color w:val="000000"/>
                <w:sz w:val="18"/>
                <w:szCs w:val="18"/>
                <w:lang w:val="en-US"/>
              </w:rPr>
            </w:pPr>
            <w:r w:rsidRPr="00F2449F">
              <w:rPr>
                <w:color w:val="000000"/>
                <w:sz w:val="18"/>
                <w:szCs w:val="18"/>
                <w:lang w:val="en-US"/>
              </w:rPr>
              <w:t>Key Account Manager</w:t>
            </w:r>
          </w:p>
        </w:tc>
        <w:tc>
          <w:tcPr>
            <w:tcW w:w="1276" w:type="dxa"/>
            <w:vAlign w:val="center"/>
          </w:tcPr>
          <w:p w14:paraId="00000157"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158" w14:textId="77777777" w:rsidR="00985B1F" w:rsidRPr="00F2449F" w:rsidRDefault="00717D17" w:rsidP="007B62B8">
            <w:pPr>
              <w:jc w:val="both"/>
              <w:rPr>
                <w:color w:val="000000"/>
                <w:sz w:val="18"/>
                <w:szCs w:val="18"/>
                <w:lang w:val="en-US"/>
              </w:rPr>
            </w:pPr>
            <w:r w:rsidRPr="00F2449F">
              <w:rPr>
                <w:color w:val="000000"/>
                <w:sz w:val="18"/>
                <w:szCs w:val="18"/>
                <w:lang w:val="en-US"/>
              </w:rPr>
              <w:t>6</w:t>
            </w:r>
          </w:p>
        </w:tc>
        <w:tc>
          <w:tcPr>
            <w:tcW w:w="4053" w:type="dxa"/>
            <w:vAlign w:val="center"/>
          </w:tcPr>
          <w:p w14:paraId="00000159" w14:textId="77777777" w:rsidR="00985B1F" w:rsidRPr="00F2449F" w:rsidRDefault="00717D17" w:rsidP="007B62B8">
            <w:pPr>
              <w:jc w:val="both"/>
              <w:rPr>
                <w:color w:val="000000"/>
                <w:sz w:val="18"/>
                <w:szCs w:val="18"/>
                <w:lang w:val="en-US"/>
              </w:rPr>
            </w:pPr>
            <w:r w:rsidRPr="00F2449F">
              <w:rPr>
                <w:color w:val="000000"/>
                <w:sz w:val="18"/>
                <w:szCs w:val="18"/>
                <w:lang w:val="en-US"/>
              </w:rPr>
              <w:t>ICT Services</w:t>
            </w:r>
          </w:p>
        </w:tc>
      </w:tr>
      <w:tr w:rsidR="00985B1F" w:rsidRPr="00F2449F" w14:paraId="2B66DE99" w14:textId="77777777">
        <w:tc>
          <w:tcPr>
            <w:tcW w:w="420" w:type="dxa"/>
            <w:tcBorders>
              <w:right w:val="single" w:sz="4" w:space="0" w:color="000000"/>
            </w:tcBorders>
            <w:vAlign w:val="center"/>
          </w:tcPr>
          <w:p w14:paraId="0000015A" w14:textId="77777777" w:rsidR="00985B1F" w:rsidRPr="00F2449F" w:rsidRDefault="00717D17" w:rsidP="007B62B8">
            <w:pPr>
              <w:jc w:val="both"/>
              <w:rPr>
                <w:color w:val="000000"/>
                <w:sz w:val="18"/>
                <w:szCs w:val="18"/>
                <w:lang w:val="en-US"/>
              </w:rPr>
            </w:pPr>
            <w:r w:rsidRPr="00F2449F">
              <w:rPr>
                <w:color w:val="000000"/>
                <w:sz w:val="18"/>
                <w:szCs w:val="18"/>
                <w:lang w:val="en-US"/>
              </w:rPr>
              <w:t>40</w:t>
            </w:r>
          </w:p>
        </w:tc>
        <w:tc>
          <w:tcPr>
            <w:tcW w:w="2127" w:type="dxa"/>
            <w:tcBorders>
              <w:left w:val="single" w:sz="4" w:space="0" w:color="000000"/>
            </w:tcBorders>
            <w:vAlign w:val="center"/>
          </w:tcPr>
          <w:p w14:paraId="0000015B" w14:textId="77777777" w:rsidR="00985B1F" w:rsidRPr="00F2449F" w:rsidRDefault="00717D17" w:rsidP="007B62B8">
            <w:pPr>
              <w:jc w:val="both"/>
              <w:rPr>
                <w:color w:val="000000"/>
                <w:sz w:val="18"/>
                <w:szCs w:val="18"/>
                <w:lang w:val="en-US"/>
              </w:rPr>
            </w:pPr>
            <w:r w:rsidRPr="00F2449F">
              <w:rPr>
                <w:color w:val="000000"/>
                <w:sz w:val="18"/>
                <w:szCs w:val="18"/>
                <w:lang w:val="en-US"/>
              </w:rPr>
              <w:t>Export Manager</w:t>
            </w:r>
          </w:p>
        </w:tc>
        <w:tc>
          <w:tcPr>
            <w:tcW w:w="1276" w:type="dxa"/>
            <w:vAlign w:val="center"/>
          </w:tcPr>
          <w:p w14:paraId="0000015C"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15D" w14:textId="77777777" w:rsidR="00985B1F" w:rsidRPr="00F2449F" w:rsidRDefault="00717D17" w:rsidP="007B62B8">
            <w:pPr>
              <w:jc w:val="both"/>
              <w:rPr>
                <w:color w:val="000000"/>
                <w:sz w:val="18"/>
                <w:szCs w:val="18"/>
                <w:lang w:val="en-US"/>
              </w:rPr>
            </w:pPr>
            <w:r w:rsidRPr="00F2449F">
              <w:rPr>
                <w:color w:val="000000"/>
                <w:sz w:val="18"/>
                <w:szCs w:val="18"/>
                <w:lang w:val="en-US"/>
              </w:rPr>
              <w:t>12</w:t>
            </w:r>
          </w:p>
        </w:tc>
        <w:tc>
          <w:tcPr>
            <w:tcW w:w="4053" w:type="dxa"/>
            <w:vAlign w:val="center"/>
          </w:tcPr>
          <w:p w14:paraId="0000015E" w14:textId="77777777" w:rsidR="00985B1F" w:rsidRPr="00F2449F" w:rsidRDefault="00717D17" w:rsidP="007B62B8">
            <w:pPr>
              <w:jc w:val="both"/>
              <w:rPr>
                <w:color w:val="000000"/>
                <w:sz w:val="18"/>
                <w:szCs w:val="18"/>
                <w:lang w:val="en-US"/>
              </w:rPr>
            </w:pPr>
            <w:r w:rsidRPr="00F2449F">
              <w:rPr>
                <w:color w:val="000000"/>
                <w:sz w:val="18"/>
                <w:szCs w:val="18"/>
                <w:lang w:val="en-US"/>
              </w:rPr>
              <w:t>Beauty and Cosmetics</w:t>
            </w:r>
          </w:p>
        </w:tc>
      </w:tr>
      <w:tr w:rsidR="00985B1F" w:rsidRPr="00F2449F" w14:paraId="24766B1A" w14:textId="77777777">
        <w:tc>
          <w:tcPr>
            <w:tcW w:w="420" w:type="dxa"/>
            <w:tcBorders>
              <w:right w:val="single" w:sz="4" w:space="0" w:color="000000"/>
            </w:tcBorders>
            <w:vAlign w:val="center"/>
          </w:tcPr>
          <w:p w14:paraId="0000015F" w14:textId="77777777" w:rsidR="00985B1F" w:rsidRPr="00F2449F" w:rsidRDefault="00717D17" w:rsidP="007B62B8">
            <w:pPr>
              <w:jc w:val="both"/>
              <w:rPr>
                <w:color w:val="000000"/>
                <w:sz w:val="18"/>
                <w:szCs w:val="18"/>
                <w:lang w:val="en-US"/>
              </w:rPr>
            </w:pPr>
            <w:r w:rsidRPr="00F2449F">
              <w:rPr>
                <w:color w:val="000000"/>
                <w:sz w:val="18"/>
                <w:szCs w:val="18"/>
                <w:lang w:val="en-US"/>
              </w:rPr>
              <w:t>41</w:t>
            </w:r>
          </w:p>
        </w:tc>
        <w:tc>
          <w:tcPr>
            <w:tcW w:w="2127" w:type="dxa"/>
            <w:tcBorders>
              <w:left w:val="single" w:sz="4" w:space="0" w:color="000000"/>
            </w:tcBorders>
            <w:vAlign w:val="center"/>
          </w:tcPr>
          <w:p w14:paraId="00000160" w14:textId="77777777" w:rsidR="00985B1F" w:rsidRPr="00F2449F" w:rsidRDefault="00717D17" w:rsidP="007B62B8">
            <w:pPr>
              <w:jc w:val="both"/>
              <w:rPr>
                <w:color w:val="000000"/>
                <w:sz w:val="18"/>
                <w:szCs w:val="18"/>
                <w:lang w:val="en-US"/>
              </w:rPr>
            </w:pPr>
            <w:r w:rsidRPr="00F2449F">
              <w:rPr>
                <w:color w:val="000000"/>
                <w:sz w:val="18"/>
                <w:szCs w:val="18"/>
                <w:lang w:val="en-US"/>
              </w:rPr>
              <w:t>Customer Success Manager</w:t>
            </w:r>
          </w:p>
        </w:tc>
        <w:tc>
          <w:tcPr>
            <w:tcW w:w="1276" w:type="dxa"/>
            <w:vAlign w:val="center"/>
          </w:tcPr>
          <w:p w14:paraId="00000161"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162" w14:textId="77777777" w:rsidR="00985B1F" w:rsidRPr="00F2449F" w:rsidRDefault="00717D17" w:rsidP="007B62B8">
            <w:pPr>
              <w:jc w:val="both"/>
              <w:rPr>
                <w:color w:val="000000"/>
                <w:sz w:val="18"/>
                <w:szCs w:val="18"/>
                <w:lang w:val="en-US"/>
              </w:rPr>
            </w:pPr>
            <w:r w:rsidRPr="00F2449F">
              <w:rPr>
                <w:color w:val="000000"/>
                <w:sz w:val="18"/>
                <w:szCs w:val="18"/>
                <w:lang w:val="en-US"/>
              </w:rPr>
              <w:t>11</w:t>
            </w:r>
          </w:p>
        </w:tc>
        <w:tc>
          <w:tcPr>
            <w:tcW w:w="4053" w:type="dxa"/>
            <w:vAlign w:val="center"/>
          </w:tcPr>
          <w:p w14:paraId="00000163" w14:textId="77777777" w:rsidR="00985B1F" w:rsidRPr="00F2449F" w:rsidRDefault="00717D17" w:rsidP="007B62B8">
            <w:pPr>
              <w:jc w:val="both"/>
              <w:rPr>
                <w:color w:val="000000"/>
                <w:sz w:val="18"/>
                <w:szCs w:val="18"/>
                <w:lang w:val="en-US"/>
              </w:rPr>
            </w:pPr>
            <w:r w:rsidRPr="00F2449F">
              <w:rPr>
                <w:color w:val="000000"/>
                <w:sz w:val="18"/>
                <w:szCs w:val="18"/>
                <w:lang w:val="en-US"/>
              </w:rPr>
              <w:t>Food and Beverage</w:t>
            </w:r>
          </w:p>
        </w:tc>
      </w:tr>
      <w:tr w:rsidR="00985B1F" w:rsidRPr="00F2449F" w14:paraId="6DF77DEA" w14:textId="77777777">
        <w:tc>
          <w:tcPr>
            <w:tcW w:w="420" w:type="dxa"/>
            <w:tcBorders>
              <w:right w:val="single" w:sz="4" w:space="0" w:color="000000"/>
            </w:tcBorders>
            <w:vAlign w:val="center"/>
          </w:tcPr>
          <w:p w14:paraId="00000164" w14:textId="77777777" w:rsidR="00985B1F" w:rsidRPr="00F2449F" w:rsidRDefault="00717D17" w:rsidP="007B62B8">
            <w:pPr>
              <w:jc w:val="both"/>
              <w:rPr>
                <w:color w:val="000000"/>
                <w:sz w:val="18"/>
                <w:szCs w:val="18"/>
                <w:lang w:val="en-US"/>
              </w:rPr>
            </w:pPr>
            <w:r w:rsidRPr="00F2449F">
              <w:rPr>
                <w:color w:val="000000"/>
                <w:sz w:val="18"/>
                <w:szCs w:val="18"/>
                <w:lang w:val="en-US"/>
              </w:rPr>
              <w:t>42</w:t>
            </w:r>
          </w:p>
        </w:tc>
        <w:tc>
          <w:tcPr>
            <w:tcW w:w="2127" w:type="dxa"/>
            <w:tcBorders>
              <w:left w:val="single" w:sz="4" w:space="0" w:color="000000"/>
            </w:tcBorders>
            <w:vAlign w:val="center"/>
          </w:tcPr>
          <w:p w14:paraId="00000165" w14:textId="77777777" w:rsidR="00985B1F" w:rsidRPr="00F2449F" w:rsidRDefault="00717D17" w:rsidP="007B62B8">
            <w:pPr>
              <w:jc w:val="both"/>
              <w:rPr>
                <w:color w:val="000000"/>
                <w:sz w:val="18"/>
                <w:szCs w:val="18"/>
                <w:lang w:val="en-US"/>
              </w:rPr>
            </w:pPr>
            <w:r w:rsidRPr="00F2449F">
              <w:rPr>
                <w:color w:val="000000"/>
                <w:sz w:val="18"/>
                <w:szCs w:val="18"/>
                <w:lang w:val="en-US"/>
              </w:rPr>
              <w:t xml:space="preserve">Marketing and Communication Manager </w:t>
            </w:r>
          </w:p>
        </w:tc>
        <w:tc>
          <w:tcPr>
            <w:tcW w:w="1276" w:type="dxa"/>
            <w:vAlign w:val="center"/>
          </w:tcPr>
          <w:p w14:paraId="00000166"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167" w14:textId="77777777" w:rsidR="00985B1F" w:rsidRPr="00F2449F" w:rsidRDefault="00717D17" w:rsidP="007B62B8">
            <w:pPr>
              <w:jc w:val="both"/>
              <w:rPr>
                <w:color w:val="000000"/>
                <w:sz w:val="18"/>
                <w:szCs w:val="18"/>
                <w:lang w:val="en-US"/>
              </w:rPr>
            </w:pPr>
            <w:r w:rsidRPr="00F2449F">
              <w:rPr>
                <w:color w:val="000000"/>
                <w:sz w:val="18"/>
                <w:szCs w:val="18"/>
                <w:lang w:val="en-US"/>
              </w:rPr>
              <w:t>12</w:t>
            </w:r>
          </w:p>
        </w:tc>
        <w:tc>
          <w:tcPr>
            <w:tcW w:w="4053" w:type="dxa"/>
            <w:vAlign w:val="center"/>
          </w:tcPr>
          <w:p w14:paraId="00000168" w14:textId="77777777" w:rsidR="00985B1F" w:rsidRPr="00F2449F" w:rsidRDefault="00717D17" w:rsidP="007B62B8">
            <w:pPr>
              <w:jc w:val="both"/>
              <w:rPr>
                <w:color w:val="000000"/>
                <w:sz w:val="18"/>
                <w:szCs w:val="18"/>
                <w:lang w:val="en-US"/>
              </w:rPr>
            </w:pPr>
            <w:r w:rsidRPr="00F2449F">
              <w:rPr>
                <w:color w:val="000000"/>
                <w:sz w:val="18"/>
                <w:szCs w:val="18"/>
                <w:lang w:val="en-US"/>
              </w:rPr>
              <w:t>Business Services</w:t>
            </w:r>
          </w:p>
        </w:tc>
      </w:tr>
      <w:tr w:rsidR="00985B1F" w:rsidRPr="00F2449F" w14:paraId="4AA6600F" w14:textId="77777777">
        <w:tc>
          <w:tcPr>
            <w:tcW w:w="420" w:type="dxa"/>
            <w:tcBorders>
              <w:right w:val="single" w:sz="4" w:space="0" w:color="000000"/>
            </w:tcBorders>
            <w:vAlign w:val="center"/>
          </w:tcPr>
          <w:p w14:paraId="00000169" w14:textId="77777777" w:rsidR="00985B1F" w:rsidRPr="00F2449F" w:rsidRDefault="00717D17" w:rsidP="007B62B8">
            <w:pPr>
              <w:jc w:val="both"/>
              <w:rPr>
                <w:color w:val="000000"/>
                <w:sz w:val="18"/>
                <w:szCs w:val="18"/>
                <w:lang w:val="en-US"/>
              </w:rPr>
            </w:pPr>
            <w:r w:rsidRPr="00F2449F">
              <w:rPr>
                <w:color w:val="000000"/>
                <w:sz w:val="18"/>
                <w:szCs w:val="18"/>
                <w:lang w:val="en-US"/>
              </w:rPr>
              <w:t>43</w:t>
            </w:r>
          </w:p>
        </w:tc>
        <w:tc>
          <w:tcPr>
            <w:tcW w:w="2127" w:type="dxa"/>
            <w:tcBorders>
              <w:left w:val="single" w:sz="4" w:space="0" w:color="000000"/>
            </w:tcBorders>
            <w:vAlign w:val="center"/>
          </w:tcPr>
          <w:p w14:paraId="0000016A" w14:textId="77777777" w:rsidR="00985B1F" w:rsidRPr="00F2449F" w:rsidRDefault="00717D17" w:rsidP="007B62B8">
            <w:pPr>
              <w:jc w:val="both"/>
              <w:rPr>
                <w:color w:val="000000"/>
                <w:sz w:val="18"/>
                <w:szCs w:val="18"/>
                <w:lang w:val="en-US"/>
              </w:rPr>
            </w:pPr>
            <w:r w:rsidRPr="00F2449F">
              <w:rPr>
                <w:color w:val="000000"/>
                <w:sz w:val="18"/>
                <w:szCs w:val="18"/>
                <w:lang w:val="en-US"/>
              </w:rPr>
              <w:t>Marketing Manager</w:t>
            </w:r>
          </w:p>
        </w:tc>
        <w:tc>
          <w:tcPr>
            <w:tcW w:w="1276" w:type="dxa"/>
            <w:vAlign w:val="center"/>
          </w:tcPr>
          <w:p w14:paraId="0000016B"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16C" w14:textId="77777777" w:rsidR="00985B1F" w:rsidRPr="00F2449F" w:rsidRDefault="00717D17" w:rsidP="007B62B8">
            <w:pPr>
              <w:jc w:val="both"/>
              <w:rPr>
                <w:color w:val="000000"/>
                <w:sz w:val="18"/>
                <w:szCs w:val="18"/>
                <w:lang w:val="en-US"/>
              </w:rPr>
            </w:pPr>
            <w:r w:rsidRPr="00F2449F">
              <w:rPr>
                <w:color w:val="000000"/>
                <w:sz w:val="18"/>
                <w:szCs w:val="18"/>
                <w:lang w:val="en-US"/>
              </w:rPr>
              <w:t>10</w:t>
            </w:r>
          </w:p>
        </w:tc>
        <w:tc>
          <w:tcPr>
            <w:tcW w:w="4053" w:type="dxa"/>
            <w:vAlign w:val="center"/>
          </w:tcPr>
          <w:p w14:paraId="0000016D" w14:textId="77777777" w:rsidR="00985B1F" w:rsidRPr="00F2449F" w:rsidRDefault="00717D17" w:rsidP="007B62B8">
            <w:pPr>
              <w:jc w:val="both"/>
              <w:rPr>
                <w:color w:val="000000"/>
                <w:sz w:val="18"/>
                <w:szCs w:val="18"/>
                <w:lang w:val="en-US"/>
              </w:rPr>
            </w:pPr>
            <w:r w:rsidRPr="00F2449F">
              <w:rPr>
                <w:color w:val="000000"/>
                <w:sz w:val="18"/>
                <w:szCs w:val="18"/>
                <w:lang w:val="en-US"/>
              </w:rPr>
              <w:t>B2B Marketplace</w:t>
            </w:r>
          </w:p>
        </w:tc>
      </w:tr>
      <w:tr w:rsidR="00985B1F" w:rsidRPr="00F2449F" w14:paraId="6BC00892" w14:textId="77777777">
        <w:tc>
          <w:tcPr>
            <w:tcW w:w="420" w:type="dxa"/>
            <w:tcBorders>
              <w:right w:val="single" w:sz="4" w:space="0" w:color="000000"/>
            </w:tcBorders>
            <w:vAlign w:val="center"/>
          </w:tcPr>
          <w:p w14:paraId="0000016E" w14:textId="77777777" w:rsidR="00985B1F" w:rsidRPr="00F2449F" w:rsidRDefault="00717D17" w:rsidP="007B62B8">
            <w:pPr>
              <w:jc w:val="both"/>
              <w:rPr>
                <w:color w:val="000000"/>
                <w:sz w:val="18"/>
                <w:szCs w:val="18"/>
                <w:lang w:val="en-US"/>
              </w:rPr>
            </w:pPr>
            <w:r w:rsidRPr="00F2449F">
              <w:rPr>
                <w:color w:val="000000"/>
                <w:sz w:val="18"/>
                <w:szCs w:val="18"/>
                <w:lang w:val="en-US"/>
              </w:rPr>
              <w:t>44</w:t>
            </w:r>
          </w:p>
        </w:tc>
        <w:tc>
          <w:tcPr>
            <w:tcW w:w="2127" w:type="dxa"/>
            <w:tcBorders>
              <w:left w:val="single" w:sz="4" w:space="0" w:color="000000"/>
            </w:tcBorders>
            <w:vAlign w:val="center"/>
          </w:tcPr>
          <w:p w14:paraId="0000016F" w14:textId="77777777" w:rsidR="00985B1F" w:rsidRPr="00F2449F" w:rsidRDefault="00717D17" w:rsidP="007B62B8">
            <w:pPr>
              <w:jc w:val="both"/>
              <w:rPr>
                <w:color w:val="000000"/>
                <w:sz w:val="18"/>
                <w:szCs w:val="18"/>
                <w:lang w:val="en-US"/>
              </w:rPr>
            </w:pPr>
            <w:r w:rsidRPr="00F2449F">
              <w:rPr>
                <w:color w:val="000000"/>
                <w:sz w:val="18"/>
                <w:szCs w:val="18"/>
                <w:lang w:val="en-US"/>
              </w:rPr>
              <w:t>Network Manager</w:t>
            </w:r>
          </w:p>
        </w:tc>
        <w:tc>
          <w:tcPr>
            <w:tcW w:w="1276" w:type="dxa"/>
            <w:vAlign w:val="center"/>
          </w:tcPr>
          <w:p w14:paraId="00000170"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171" w14:textId="77777777" w:rsidR="00985B1F" w:rsidRPr="00F2449F" w:rsidRDefault="00717D17" w:rsidP="007B62B8">
            <w:pPr>
              <w:jc w:val="both"/>
              <w:rPr>
                <w:color w:val="000000"/>
                <w:sz w:val="18"/>
                <w:szCs w:val="18"/>
                <w:lang w:val="en-US"/>
              </w:rPr>
            </w:pPr>
            <w:r w:rsidRPr="00F2449F">
              <w:rPr>
                <w:color w:val="000000"/>
                <w:sz w:val="18"/>
                <w:szCs w:val="18"/>
                <w:lang w:val="en-US"/>
              </w:rPr>
              <w:t>8</w:t>
            </w:r>
          </w:p>
        </w:tc>
        <w:tc>
          <w:tcPr>
            <w:tcW w:w="4053" w:type="dxa"/>
            <w:vAlign w:val="center"/>
          </w:tcPr>
          <w:p w14:paraId="00000172" w14:textId="77777777" w:rsidR="00985B1F" w:rsidRPr="00F2449F" w:rsidRDefault="00717D17" w:rsidP="007B62B8">
            <w:pPr>
              <w:jc w:val="both"/>
              <w:rPr>
                <w:color w:val="000000"/>
                <w:sz w:val="18"/>
                <w:szCs w:val="18"/>
                <w:lang w:val="en-US"/>
              </w:rPr>
            </w:pPr>
            <w:r w:rsidRPr="00F2449F">
              <w:rPr>
                <w:color w:val="000000"/>
                <w:sz w:val="18"/>
                <w:szCs w:val="18"/>
                <w:lang w:val="en-US"/>
              </w:rPr>
              <w:t>Pharmaceutical</w:t>
            </w:r>
          </w:p>
        </w:tc>
      </w:tr>
      <w:tr w:rsidR="00985B1F" w:rsidRPr="00F2449F" w14:paraId="4115C32C" w14:textId="77777777">
        <w:tc>
          <w:tcPr>
            <w:tcW w:w="420" w:type="dxa"/>
            <w:tcBorders>
              <w:right w:val="single" w:sz="4" w:space="0" w:color="000000"/>
            </w:tcBorders>
            <w:vAlign w:val="center"/>
          </w:tcPr>
          <w:p w14:paraId="00000173" w14:textId="77777777" w:rsidR="00985B1F" w:rsidRPr="00F2449F" w:rsidRDefault="00717D17" w:rsidP="007B62B8">
            <w:pPr>
              <w:jc w:val="both"/>
              <w:rPr>
                <w:color w:val="000000"/>
                <w:sz w:val="18"/>
                <w:szCs w:val="18"/>
                <w:lang w:val="en-US"/>
              </w:rPr>
            </w:pPr>
            <w:r w:rsidRPr="00F2449F">
              <w:rPr>
                <w:color w:val="000000"/>
                <w:sz w:val="18"/>
                <w:szCs w:val="18"/>
                <w:lang w:val="en-US"/>
              </w:rPr>
              <w:t>45</w:t>
            </w:r>
          </w:p>
        </w:tc>
        <w:tc>
          <w:tcPr>
            <w:tcW w:w="2127" w:type="dxa"/>
            <w:tcBorders>
              <w:left w:val="single" w:sz="4" w:space="0" w:color="000000"/>
            </w:tcBorders>
            <w:vAlign w:val="center"/>
          </w:tcPr>
          <w:p w14:paraId="00000174" w14:textId="77777777" w:rsidR="00985B1F" w:rsidRPr="00F2449F" w:rsidRDefault="00717D17" w:rsidP="007B62B8">
            <w:pPr>
              <w:jc w:val="both"/>
              <w:rPr>
                <w:color w:val="000000"/>
                <w:sz w:val="18"/>
                <w:szCs w:val="18"/>
                <w:lang w:val="en-US"/>
              </w:rPr>
            </w:pPr>
            <w:r w:rsidRPr="00F2449F">
              <w:rPr>
                <w:color w:val="000000"/>
                <w:sz w:val="18"/>
                <w:szCs w:val="18"/>
                <w:lang w:val="en-US"/>
              </w:rPr>
              <w:t>CEO</w:t>
            </w:r>
          </w:p>
        </w:tc>
        <w:tc>
          <w:tcPr>
            <w:tcW w:w="1276" w:type="dxa"/>
            <w:vAlign w:val="center"/>
          </w:tcPr>
          <w:p w14:paraId="00000175"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176" w14:textId="77777777" w:rsidR="00985B1F" w:rsidRPr="00F2449F" w:rsidRDefault="00717D17" w:rsidP="007B62B8">
            <w:pPr>
              <w:jc w:val="both"/>
              <w:rPr>
                <w:color w:val="000000"/>
                <w:sz w:val="18"/>
                <w:szCs w:val="18"/>
                <w:lang w:val="en-US"/>
              </w:rPr>
            </w:pPr>
            <w:r w:rsidRPr="00F2449F">
              <w:rPr>
                <w:color w:val="000000"/>
                <w:sz w:val="18"/>
                <w:szCs w:val="18"/>
                <w:lang w:val="en-US"/>
              </w:rPr>
              <w:t>23</w:t>
            </w:r>
          </w:p>
        </w:tc>
        <w:tc>
          <w:tcPr>
            <w:tcW w:w="4053" w:type="dxa"/>
            <w:vAlign w:val="center"/>
          </w:tcPr>
          <w:p w14:paraId="00000177" w14:textId="77777777" w:rsidR="00985B1F" w:rsidRPr="00F2449F" w:rsidRDefault="00717D17" w:rsidP="007B62B8">
            <w:pPr>
              <w:jc w:val="both"/>
              <w:rPr>
                <w:color w:val="000000"/>
                <w:sz w:val="18"/>
                <w:szCs w:val="18"/>
                <w:lang w:val="en-US"/>
              </w:rPr>
            </w:pPr>
            <w:r w:rsidRPr="00F2449F">
              <w:rPr>
                <w:color w:val="000000"/>
                <w:sz w:val="18"/>
                <w:szCs w:val="18"/>
                <w:lang w:val="en-US"/>
              </w:rPr>
              <w:t>Chemicals</w:t>
            </w:r>
          </w:p>
        </w:tc>
      </w:tr>
      <w:tr w:rsidR="00985B1F" w:rsidRPr="00F2449F" w14:paraId="7AED4BD1" w14:textId="77777777">
        <w:tc>
          <w:tcPr>
            <w:tcW w:w="420" w:type="dxa"/>
            <w:tcBorders>
              <w:right w:val="single" w:sz="4" w:space="0" w:color="000000"/>
            </w:tcBorders>
            <w:vAlign w:val="center"/>
          </w:tcPr>
          <w:p w14:paraId="00000178" w14:textId="77777777" w:rsidR="00985B1F" w:rsidRPr="00F2449F" w:rsidRDefault="00717D17" w:rsidP="007B62B8">
            <w:pPr>
              <w:jc w:val="both"/>
              <w:rPr>
                <w:color w:val="000000"/>
                <w:sz w:val="18"/>
                <w:szCs w:val="18"/>
                <w:lang w:val="en-US"/>
              </w:rPr>
            </w:pPr>
            <w:r w:rsidRPr="00F2449F">
              <w:rPr>
                <w:color w:val="000000"/>
                <w:sz w:val="18"/>
                <w:szCs w:val="18"/>
                <w:lang w:val="en-US"/>
              </w:rPr>
              <w:t>46</w:t>
            </w:r>
          </w:p>
        </w:tc>
        <w:tc>
          <w:tcPr>
            <w:tcW w:w="2127" w:type="dxa"/>
            <w:tcBorders>
              <w:left w:val="single" w:sz="4" w:space="0" w:color="000000"/>
            </w:tcBorders>
            <w:vAlign w:val="center"/>
          </w:tcPr>
          <w:p w14:paraId="00000179" w14:textId="77777777" w:rsidR="00985B1F" w:rsidRPr="00F2449F" w:rsidRDefault="00717D17" w:rsidP="007B62B8">
            <w:pPr>
              <w:jc w:val="both"/>
              <w:rPr>
                <w:color w:val="000000"/>
                <w:sz w:val="18"/>
                <w:szCs w:val="18"/>
                <w:lang w:val="en-US"/>
              </w:rPr>
            </w:pPr>
            <w:r w:rsidRPr="00F2449F">
              <w:rPr>
                <w:color w:val="000000"/>
                <w:sz w:val="18"/>
                <w:szCs w:val="18"/>
                <w:lang w:val="en-US"/>
              </w:rPr>
              <w:t>Sales &amp; Marketing Manager</w:t>
            </w:r>
          </w:p>
        </w:tc>
        <w:tc>
          <w:tcPr>
            <w:tcW w:w="1276" w:type="dxa"/>
            <w:vAlign w:val="center"/>
          </w:tcPr>
          <w:p w14:paraId="0000017A"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17B" w14:textId="77777777" w:rsidR="00985B1F" w:rsidRPr="00F2449F" w:rsidRDefault="00717D17" w:rsidP="007B62B8">
            <w:pPr>
              <w:jc w:val="both"/>
              <w:rPr>
                <w:color w:val="000000"/>
                <w:sz w:val="18"/>
                <w:szCs w:val="18"/>
                <w:lang w:val="en-US"/>
              </w:rPr>
            </w:pPr>
            <w:r w:rsidRPr="00F2449F">
              <w:rPr>
                <w:color w:val="000000"/>
                <w:sz w:val="18"/>
                <w:szCs w:val="18"/>
                <w:lang w:val="en-US"/>
              </w:rPr>
              <w:t>13</w:t>
            </w:r>
          </w:p>
        </w:tc>
        <w:tc>
          <w:tcPr>
            <w:tcW w:w="4053" w:type="dxa"/>
            <w:vAlign w:val="center"/>
          </w:tcPr>
          <w:p w14:paraId="0000017C" w14:textId="77777777" w:rsidR="00985B1F" w:rsidRPr="00F2449F" w:rsidRDefault="00717D17" w:rsidP="007B62B8">
            <w:pPr>
              <w:jc w:val="both"/>
              <w:rPr>
                <w:color w:val="000000"/>
                <w:sz w:val="18"/>
                <w:szCs w:val="18"/>
                <w:lang w:val="en-US"/>
              </w:rPr>
            </w:pPr>
            <w:r w:rsidRPr="00F2449F">
              <w:rPr>
                <w:color w:val="000000"/>
                <w:sz w:val="18"/>
                <w:szCs w:val="18"/>
                <w:lang w:val="en-US"/>
              </w:rPr>
              <w:t>Wholesale Distribution</w:t>
            </w:r>
          </w:p>
        </w:tc>
      </w:tr>
      <w:tr w:rsidR="00985B1F" w:rsidRPr="00F2449F" w14:paraId="7C829326" w14:textId="77777777">
        <w:tc>
          <w:tcPr>
            <w:tcW w:w="420" w:type="dxa"/>
            <w:tcBorders>
              <w:right w:val="single" w:sz="4" w:space="0" w:color="000000"/>
            </w:tcBorders>
            <w:vAlign w:val="center"/>
          </w:tcPr>
          <w:p w14:paraId="0000017D" w14:textId="77777777" w:rsidR="00985B1F" w:rsidRPr="00F2449F" w:rsidRDefault="00717D17" w:rsidP="007B62B8">
            <w:pPr>
              <w:jc w:val="both"/>
              <w:rPr>
                <w:color w:val="000000"/>
                <w:sz w:val="18"/>
                <w:szCs w:val="18"/>
                <w:lang w:val="en-US"/>
              </w:rPr>
            </w:pPr>
            <w:r w:rsidRPr="00F2449F">
              <w:rPr>
                <w:color w:val="000000"/>
                <w:sz w:val="18"/>
                <w:szCs w:val="18"/>
                <w:lang w:val="en-US"/>
              </w:rPr>
              <w:t>47</w:t>
            </w:r>
          </w:p>
        </w:tc>
        <w:tc>
          <w:tcPr>
            <w:tcW w:w="2127" w:type="dxa"/>
            <w:tcBorders>
              <w:left w:val="single" w:sz="4" w:space="0" w:color="000000"/>
            </w:tcBorders>
            <w:vAlign w:val="center"/>
          </w:tcPr>
          <w:p w14:paraId="0000017E" w14:textId="77777777" w:rsidR="00985B1F" w:rsidRPr="00F2449F" w:rsidRDefault="00717D17" w:rsidP="007B62B8">
            <w:pPr>
              <w:jc w:val="both"/>
              <w:rPr>
                <w:color w:val="000000"/>
                <w:sz w:val="18"/>
                <w:szCs w:val="18"/>
                <w:lang w:val="en-US"/>
              </w:rPr>
            </w:pPr>
            <w:r w:rsidRPr="00F2449F">
              <w:rPr>
                <w:color w:val="000000"/>
                <w:sz w:val="18"/>
                <w:szCs w:val="18"/>
                <w:lang w:val="en-US"/>
              </w:rPr>
              <w:t>Sales Director</w:t>
            </w:r>
          </w:p>
        </w:tc>
        <w:tc>
          <w:tcPr>
            <w:tcW w:w="1276" w:type="dxa"/>
            <w:vAlign w:val="center"/>
          </w:tcPr>
          <w:p w14:paraId="0000017F" w14:textId="77777777" w:rsidR="00985B1F" w:rsidRPr="00F2449F" w:rsidRDefault="00717D17" w:rsidP="007B62B8">
            <w:pPr>
              <w:jc w:val="both"/>
              <w:rPr>
                <w:color w:val="000000"/>
                <w:sz w:val="18"/>
                <w:szCs w:val="18"/>
                <w:lang w:val="en-US"/>
              </w:rPr>
            </w:pPr>
            <w:r w:rsidRPr="00F2449F">
              <w:rPr>
                <w:color w:val="000000"/>
                <w:sz w:val="18"/>
                <w:szCs w:val="18"/>
                <w:lang w:val="en-US"/>
              </w:rPr>
              <w:t>Male</w:t>
            </w:r>
          </w:p>
        </w:tc>
        <w:tc>
          <w:tcPr>
            <w:tcW w:w="1134" w:type="dxa"/>
            <w:vAlign w:val="center"/>
          </w:tcPr>
          <w:p w14:paraId="00000180" w14:textId="77777777" w:rsidR="00985B1F" w:rsidRPr="00F2449F" w:rsidRDefault="00717D17" w:rsidP="007B62B8">
            <w:pPr>
              <w:jc w:val="both"/>
              <w:rPr>
                <w:color w:val="000000"/>
                <w:sz w:val="18"/>
                <w:szCs w:val="18"/>
                <w:lang w:val="en-US"/>
              </w:rPr>
            </w:pPr>
            <w:r w:rsidRPr="00F2449F">
              <w:rPr>
                <w:color w:val="000000"/>
                <w:sz w:val="18"/>
                <w:szCs w:val="18"/>
                <w:lang w:val="en-US"/>
              </w:rPr>
              <w:t>18</w:t>
            </w:r>
          </w:p>
        </w:tc>
        <w:tc>
          <w:tcPr>
            <w:tcW w:w="4053" w:type="dxa"/>
            <w:vAlign w:val="center"/>
          </w:tcPr>
          <w:p w14:paraId="00000181" w14:textId="77777777" w:rsidR="00985B1F" w:rsidRPr="00F2449F" w:rsidRDefault="00717D17" w:rsidP="007B62B8">
            <w:pPr>
              <w:jc w:val="both"/>
              <w:rPr>
                <w:color w:val="000000"/>
                <w:sz w:val="18"/>
                <w:szCs w:val="18"/>
                <w:lang w:val="en-US"/>
              </w:rPr>
            </w:pPr>
            <w:r w:rsidRPr="00F2449F">
              <w:rPr>
                <w:color w:val="000000"/>
                <w:sz w:val="18"/>
                <w:szCs w:val="18"/>
                <w:lang w:val="en-US"/>
              </w:rPr>
              <w:t>Sustainability Consulting</w:t>
            </w:r>
          </w:p>
        </w:tc>
      </w:tr>
      <w:tr w:rsidR="00985B1F" w:rsidRPr="00F2449F" w14:paraId="38540D52" w14:textId="77777777">
        <w:tc>
          <w:tcPr>
            <w:tcW w:w="420" w:type="dxa"/>
            <w:tcBorders>
              <w:right w:val="single" w:sz="4" w:space="0" w:color="000000"/>
            </w:tcBorders>
            <w:vAlign w:val="center"/>
          </w:tcPr>
          <w:p w14:paraId="00000182" w14:textId="77777777" w:rsidR="00985B1F" w:rsidRPr="00F2449F" w:rsidRDefault="00717D17" w:rsidP="007B62B8">
            <w:pPr>
              <w:jc w:val="both"/>
              <w:rPr>
                <w:color w:val="000000"/>
                <w:sz w:val="18"/>
                <w:szCs w:val="18"/>
                <w:lang w:val="en-US"/>
              </w:rPr>
            </w:pPr>
            <w:r w:rsidRPr="00F2449F">
              <w:rPr>
                <w:color w:val="000000"/>
                <w:sz w:val="18"/>
                <w:szCs w:val="18"/>
                <w:lang w:val="en-US"/>
              </w:rPr>
              <w:t>48</w:t>
            </w:r>
          </w:p>
        </w:tc>
        <w:tc>
          <w:tcPr>
            <w:tcW w:w="2127" w:type="dxa"/>
            <w:tcBorders>
              <w:left w:val="single" w:sz="4" w:space="0" w:color="000000"/>
            </w:tcBorders>
            <w:vAlign w:val="center"/>
          </w:tcPr>
          <w:p w14:paraId="00000183" w14:textId="77777777" w:rsidR="00985B1F" w:rsidRPr="00F2449F" w:rsidRDefault="00717D17" w:rsidP="007B62B8">
            <w:pPr>
              <w:jc w:val="both"/>
              <w:rPr>
                <w:color w:val="000000"/>
                <w:sz w:val="18"/>
                <w:szCs w:val="18"/>
                <w:lang w:val="en-US"/>
              </w:rPr>
            </w:pPr>
            <w:r w:rsidRPr="00F2449F">
              <w:rPr>
                <w:color w:val="000000"/>
                <w:sz w:val="18"/>
                <w:szCs w:val="18"/>
                <w:lang w:val="en-US"/>
              </w:rPr>
              <w:t>General Manager</w:t>
            </w:r>
          </w:p>
        </w:tc>
        <w:tc>
          <w:tcPr>
            <w:tcW w:w="1276" w:type="dxa"/>
            <w:vAlign w:val="center"/>
          </w:tcPr>
          <w:p w14:paraId="00000184" w14:textId="77777777" w:rsidR="00985B1F" w:rsidRPr="00F2449F" w:rsidRDefault="00717D17" w:rsidP="007B62B8">
            <w:pPr>
              <w:jc w:val="both"/>
              <w:rPr>
                <w:color w:val="000000"/>
                <w:sz w:val="18"/>
                <w:szCs w:val="18"/>
                <w:lang w:val="en-US"/>
              </w:rPr>
            </w:pPr>
            <w:r w:rsidRPr="00F2449F">
              <w:rPr>
                <w:color w:val="000000"/>
                <w:sz w:val="18"/>
                <w:szCs w:val="18"/>
                <w:lang w:val="en-US"/>
              </w:rPr>
              <w:t>Female</w:t>
            </w:r>
          </w:p>
        </w:tc>
        <w:tc>
          <w:tcPr>
            <w:tcW w:w="1134" w:type="dxa"/>
            <w:vAlign w:val="center"/>
          </w:tcPr>
          <w:p w14:paraId="00000185" w14:textId="77777777" w:rsidR="00985B1F" w:rsidRPr="00F2449F" w:rsidRDefault="00717D17" w:rsidP="007B62B8">
            <w:pPr>
              <w:jc w:val="both"/>
              <w:rPr>
                <w:color w:val="000000"/>
                <w:sz w:val="18"/>
                <w:szCs w:val="18"/>
                <w:lang w:val="en-US"/>
              </w:rPr>
            </w:pPr>
            <w:r w:rsidRPr="00F2449F">
              <w:rPr>
                <w:color w:val="000000"/>
                <w:sz w:val="18"/>
                <w:szCs w:val="18"/>
                <w:lang w:val="en-US"/>
              </w:rPr>
              <w:t>17</w:t>
            </w:r>
          </w:p>
        </w:tc>
        <w:tc>
          <w:tcPr>
            <w:tcW w:w="4053" w:type="dxa"/>
            <w:vAlign w:val="center"/>
          </w:tcPr>
          <w:p w14:paraId="00000186" w14:textId="77777777" w:rsidR="00985B1F" w:rsidRPr="00F2449F" w:rsidRDefault="00717D17" w:rsidP="007B62B8">
            <w:pPr>
              <w:jc w:val="both"/>
              <w:rPr>
                <w:color w:val="000000"/>
                <w:sz w:val="18"/>
                <w:szCs w:val="18"/>
                <w:lang w:val="en-US"/>
              </w:rPr>
            </w:pPr>
            <w:r w:rsidRPr="00F2449F">
              <w:rPr>
                <w:color w:val="000000"/>
                <w:sz w:val="18"/>
                <w:szCs w:val="18"/>
                <w:lang w:val="en-US"/>
              </w:rPr>
              <w:t>Management Consulting</w:t>
            </w:r>
          </w:p>
        </w:tc>
      </w:tr>
    </w:tbl>
    <w:p w14:paraId="00000187" w14:textId="77777777" w:rsidR="00985B1F" w:rsidRPr="00F2449F" w:rsidRDefault="00717D17" w:rsidP="007B62B8">
      <w:pPr>
        <w:spacing w:line="480" w:lineRule="auto"/>
        <w:jc w:val="both"/>
        <w:rPr>
          <w:b/>
          <w:color w:val="000000"/>
          <w:lang w:val="en-US"/>
        </w:rPr>
      </w:pPr>
      <w:r w:rsidRPr="00F2449F">
        <w:rPr>
          <w:b/>
          <w:color w:val="000000"/>
          <w:lang w:val="en-US"/>
        </w:rPr>
        <w:t xml:space="preserve"> </w:t>
      </w:r>
    </w:p>
    <w:p w14:paraId="00000188" w14:textId="77777777" w:rsidR="00985B1F" w:rsidRPr="00F2449F" w:rsidRDefault="00717D17" w:rsidP="007B62B8">
      <w:pPr>
        <w:pBdr>
          <w:top w:val="nil"/>
          <w:left w:val="nil"/>
          <w:bottom w:val="nil"/>
          <w:right w:val="nil"/>
          <w:between w:val="nil"/>
        </w:pBdr>
        <w:spacing w:before="280" w:after="280" w:line="480" w:lineRule="auto"/>
        <w:jc w:val="both"/>
        <w:rPr>
          <w:b/>
          <w:color w:val="000000"/>
          <w:lang w:val="en-US"/>
        </w:rPr>
      </w:pPr>
      <w:r w:rsidRPr="00F2449F">
        <w:rPr>
          <w:b/>
          <w:color w:val="000000"/>
          <w:lang w:val="en-US"/>
        </w:rPr>
        <w:t>Table 3. Coding structure</w:t>
      </w:r>
    </w:p>
    <w:tbl>
      <w:tblPr>
        <w:tblStyle w:val="a1"/>
        <w:tblW w:w="9622"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1696"/>
        <w:gridCol w:w="2273"/>
        <w:gridCol w:w="5653"/>
      </w:tblGrid>
      <w:tr w:rsidR="00985B1F" w:rsidRPr="00EA736D" w14:paraId="0B8FC7A7" w14:textId="77777777">
        <w:tc>
          <w:tcPr>
            <w:tcW w:w="1696" w:type="dxa"/>
            <w:tcMar>
              <w:top w:w="108" w:type="dxa"/>
              <w:bottom w:w="108" w:type="dxa"/>
            </w:tcMar>
          </w:tcPr>
          <w:p w14:paraId="00000189" w14:textId="77777777" w:rsidR="00985B1F" w:rsidRPr="00F2449F" w:rsidRDefault="00717D17" w:rsidP="00597470">
            <w:pPr>
              <w:rPr>
                <w:b/>
                <w:sz w:val="22"/>
                <w:szCs w:val="22"/>
                <w:lang w:val="en-US"/>
              </w:rPr>
            </w:pPr>
            <w:r w:rsidRPr="00F2449F">
              <w:rPr>
                <w:b/>
                <w:sz w:val="22"/>
                <w:szCs w:val="22"/>
                <w:lang w:val="en-US"/>
              </w:rPr>
              <w:t>2</w:t>
            </w:r>
            <w:r w:rsidRPr="00F2449F">
              <w:rPr>
                <w:b/>
                <w:sz w:val="22"/>
                <w:szCs w:val="22"/>
                <w:vertAlign w:val="superscript"/>
                <w:lang w:val="en-US"/>
              </w:rPr>
              <w:t>nd</w:t>
            </w:r>
            <w:r w:rsidRPr="00F2449F">
              <w:rPr>
                <w:b/>
                <w:sz w:val="22"/>
                <w:szCs w:val="22"/>
                <w:lang w:val="en-US"/>
              </w:rPr>
              <w:t xml:space="preserve"> order themes (dimensions)</w:t>
            </w:r>
          </w:p>
        </w:tc>
        <w:tc>
          <w:tcPr>
            <w:tcW w:w="2273" w:type="dxa"/>
            <w:tcMar>
              <w:top w:w="108" w:type="dxa"/>
              <w:bottom w:w="108" w:type="dxa"/>
            </w:tcMar>
          </w:tcPr>
          <w:p w14:paraId="0000018A" w14:textId="77777777" w:rsidR="00985B1F" w:rsidRPr="00F2449F" w:rsidRDefault="00717D17" w:rsidP="00597470">
            <w:pPr>
              <w:rPr>
                <w:b/>
                <w:sz w:val="22"/>
                <w:szCs w:val="22"/>
                <w:lang w:val="en-US"/>
              </w:rPr>
            </w:pPr>
            <w:r w:rsidRPr="00F2449F">
              <w:rPr>
                <w:b/>
                <w:sz w:val="22"/>
                <w:szCs w:val="22"/>
                <w:lang w:val="en-US"/>
              </w:rPr>
              <w:t>1</w:t>
            </w:r>
            <w:r w:rsidRPr="00F2449F">
              <w:rPr>
                <w:b/>
                <w:sz w:val="22"/>
                <w:szCs w:val="22"/>
                <w:vertAlign w:val="superscript"/>
                <w:lang w:val="en-US"/>
              </w:rPr>
              <w:t>st</w:t>
            </w:r>
            <w:r w:rsidRPr="00F2449F">
              <w:rPr>
                <w:b/>
                <w:sz w:val="22"/>
                <w:szCs w:val="22"/>
                <w:lang w:val="en-US"/>
              </w:rPr>
              <w:t xml:space="preserve"> order categories</w:t>
            </w:r>
          </w:p>
        </w:tc>
        <w:tc>
          <w:tcPr>
            <w:tcW w:w="5653" w:type="dxa"/>
            <w:tcMar>
              <w:top w:w="108" w:type="dxa"/>
              <w:bottom w:w="108" w:type="dxa"/>
            </w:tcMar>
          </w:tcPr>
          <w:p w14:paraId="0000018B" w14:textId="77777777" w:rsidR="00985B1F" w:rsidRPr="00F2449F" w:rsidRDefault="00717D17" w:rsidP="00597470">
            <w:pPr>
              <w:rPr>
                <w:b/>
                <w:sz w:val="22"/>
                <w:szCs w:val="22"/>
                <w:lang w:val="en-US"/>
              </w:rPr>
            </w:pPr>
            <w:r w:rsidRPr="00F2449F">
              <w:rPr>
                <w:b/>
                <w:sz w:val="22"/>
                <w:szCs w:val="22"/>
                <w:lang w:val="en-US"/>
              </w:rPr>
              <w:t>Summary of codes (concept-in-use)</w:t>
            </w:r>
          </w:p>
        </w:tc>
      </w:tr>
      <w:tr w:rsidR="00985B1F" w:rsidRPr="00EA736D" w14:paraId="25EB0260" w14:textId="77777777">
        <w:tc>
          <w:tcPr>
            <w:tcW w:w="1696" w:type="dxa"/>
            <w:vMerge w:val="restart"/>
            <w:tcMar>
              <w:top w:w="108" w:type="dxa"/>
              <w:bottom w:w="108" w:type="dxa"/>
            </w:tcMar>
          </w:tcPr>
          <w:p w14:paraId="0000018C" w14:textId="77777777" w:rsidR="00985B1F" w:rsidRPr="00F2449F" w:rsidRDefault="00717D17" w:rsidP="00597470">
            <w:pPr>
              <w:rPr>
                <w:sz w:val="22"/>
                <w:szCs w:val="22"/>
                <w:lang w:val="en-US"/>
              </w:rPr>
            </w:pPr>
            <w:r w:rsidRPr="00F2449F">
              <w:rPr>
                <w:sz w:val="22"/>
                <w:szCs w:val="22"/>
                <w:lang w:val="en-US"/>
              </w:rPr>
              <w:t>Ambidexterity</w:t>
            </w:r>
          </w:p>
        </w:tc>
        <w:tc>
          <w:tcPr>
            <w:tcW w:w="2273" w:type="dxa"/>
            <w:tcMar>
              <w:top w:w="108" w:type="dxa"/>
              <w:bottom w:w="108" w:type="dxa"/>
            </w:tcMar>
          </w:tcPr>
          <w:p w14:paraId="0000018D" w14:textId="77777777" w:rsidR="00985B1F" w:rsidRPr="00F2449F" w:rsidRDefault="00717D17" w:rsidP="00597470">
            <w:pPr>
              <w:rPr>
                <w:sz w:val="22"/>
                <w:szCs w:val="22"/>
                <w:lang w:val="en-US"/>
              </w:rPr>
            </w:pPr>
            <w:r w:rsidRPr="00F2449F">
              <w:rPr>
                <w:sz w:val="22"/>
                <w:szCs w:val="22"/>
                <w:lang w:val="en-US"/>
              </w:rPr>
              <w:t>Exploration and exploitation</w:t>
            </w:r>
          </w:p>
        </w:tc>
        <w:tc>
          <w:tcPr>
            <w:tcW w:w="5653" w:type="dxa"/>
            <w:tcMar>
              <w:top w:w="108" w:type="dxa"/>
              <w:bottom w:w="108" w:type="dxa"/>
            </w:tcMar>
          </w:tcPr>
          <w:p w14:paraId="0000018E" w14:textId="77777777" w:rsidR="00985B1F" w:rsidRPr="00F2449F" w:rsidRDefault="00717D17" w:rsidP="00597470">
            <w:pPr>
              <w:rPr>
                <w:sz w:val="22"/>
                <w:szCs w:val="22"/>
                <w:lang w:val="en-US"/>
              </w:rPr>
            </w:pPr>
            <w:r w:rsidRPr="00F2449F">
              <w:rPr>
                <w:sz w:val="22"/>
                <w:szCs w:val="22"/>
                <w:lang w:val="en-US"/>
              </w:rPr>
              <w:t>The organization's ability to balance exploration (innovation, experimentation, and adaptability) and exploitation (efficiency, optimization, and leveraging existing resources). This includes the creation of dedicated teams or units for innovation, fostering a culture that encourages risk-taking, and establishing mechanisms for learning from both successes and failures.</w:t>
            </w:r>
          </w:p>
        </w:tc>
      </w:tr>
      <w:tr w:rsidR="00985B1F" w:rsidRPr="00EA736D" w14:paraId="43C6D2E6" w14:textId="77777777">
        <w:tc>
          <w:tcPr>
            <w:tcW w:w="1696" w:type="dxa"/>
            <w:vMerge/>
            <w:tcMar>
              <w:top w:w="108" w:type="dxa"/>
              <w:bottom w:w="108" w:type="dxa"/>
            </w:tcMar>
          </w:tcPr>
          <w:p w14:paraId="0000018F" w14:textId="77777777" w:rsidR="00985B1F" w:rsidRPr="00F2449F" w:rsidRDefault="00985B1F" w:rsidP="00597470">
            <w:pPr>
              <w:widowControl w:val="0"/>
              <w:pBdr>
                <w:top w:val="nil"/>
                <w:left w:val="nil"/>
                <w:bottom w:val="nil"/>
                <w:right w:val="nil"/>
                <w:between w:val="nil"/>
              </w:pBdr>
              <w:rPr>
                <w:sz w:val="22"/>
                <w:szCs w:val="22"/>
                <w:lang w:val="en-US"/>
              </w:rPr>
            </w:pPr>
          </w:p>
        </w:tc>
        <w:tc>
          <w:tcPr>
            <w:tcW w:w="2273" w:type="dxa"/>
            <w:tcMar>
              <w:top w:w="108" w:type="dxa"/>
              <w:bottom w:w="108" w:type="dxa"/>
            </w:tcMar>
          </w:tcPr>
          <w:p w14:paraId="00000190" w14:textId="77777777" w:rsidR="00985B1F" w:rsidRPr="00F2449F" w:rsidRDefault="00717D17" w:rsidP="00597470">
            <w:pPr>
              <w:rPr>
                <w:sz w:val="22"/>
                <w:szCs w:val="22"/>
                <w:lang w:val="en-US"/>
              </w:rPr>
            </w:pPr>
            <w:r w:rsidRPr="00F2449F">
              <w:rPr>
                <w:sz w:val="22"/>
                <w:szCs w:val="22"/>
                <w:lang w:val="en-US"/>
              </w:rPr>
              <w:t>Dynamic resource allocation</w:t>
            </w:r>
          </w:p>
        </w:tc>
        <w:tc>
          <w:tcPr>
            <w:tcW w:w="5653" w:type="dxa"/>
            <w:tcMar>
              <w:top w:w="108" w:type="dxa"/>
              <w:bottom w:w="108" w:type="dxa"/>
            </w:tcMar>
          </w:tcPr>
          <w:p w14:paraId="00000191" w14:textId="77777777" w:rsidR="00985B1F" w:rsidRPr="00F2449F" w:rsidRDefault="00717D17" w:rsidP="00597470">
            <w:pPr>
              <w:rPr>
                <w:sz w:val="22"/>
                <w:szCs w:val="22"/>
                <w:lang w:val="en-US"/>
              </w:rPr>
            </w:pPr>
            <w:r w:rsidRPr="00F2449F">
              <w:rPr>
                <w:sz w:val="22"/>
                <w:szCs w:val="22"/>
                <w:lang w:val="en-US"/>
              </w:rPr>
              <w:t>The flexibility to allocate resources (financial, human, technological) based on the changing demands of different projects or business units. This encompasses real-time resource reassignment, the ability to redirect funds and talent quickly, and the alignment of resource allocation with strategic objectives. It also includes factors like continuous monitoring and adjustment of resource allocation to maintain adaptability.</w:t>
            </w:r>
          </w:p>
        </w:tc>
      </w:tr>
      <w:tr w:rsidR="00985B1F" w:rsidRPr="00EA736D" w14:paraId="3D9599F8" w14:textId="77777777">
        <w:tc>
          <w:tcPr>
            <w:tcW w:w="1696" w:type="dxa"/>
            <w:vMerge w:val="restart"/>
            <w:tcMar>
              <w:top w:w="108" w:type="dxa"/>
              <w:bottom w:w="108" w:type="dxa"/>
            </w:tcMar>
          </w:tcPr>
          <w:p w14:paraId="00000192" w14:textId="77777777" w:rsidR="00985B1F" w:rsidRPr="00F2449F" w:rsidRDefault="00717D17" w:rsidP="00597470">
            <w:pPr>
              <w:rPr>
                <w:sz w:val="22"/>
                <w:szCs w:val="22"/>
                <w:lang w:val="en-US"/>
              </w:rPr>
            </w:pPr>
            <w:r w:rsidRPr="00F2449F">
              <w:rPr>
                <w:sz w:val="22"/>
                <w:szCs w:val="22"/>
                <w:lang w:val="en-US"/>
              </w:rPr>
              <w:t>Option Generation</w:t>
            </w:r>
          </w:p>
        </w:tc>
        <w:tc>
          <w:tcPr>
            <w:tcW w:w="2273" w:type="dxa"/>
            <w:tcMar>
              <w:top w:w="108" w:type="dxa"/>
              <w:bottom w:w="108" w:type="dxa"/>
            </w:tcMar>
          </w:tcPr>
          <w:p w14:paraId="00000193" w14:textId="77777777" w:rsidR="00985B1F" w:rsidRPr="00F2449F" w:rsidRDefault="00717D17" w:rsidP="00597470">
            <w:pPr>
              <w:rPr>
                <w:sz w:val="22"/>
                <w:szCs w:val="22"/>
                <w:lang w:val="en-US"/>
              </w:rPr>
            </w:pPr>
            <w:r w:rsidRPr="00F2449F">
              <w:rPr>
                <w:sz w:val="22"/>
                <w:szCs w:val="22"/>
                <w:lang w:val="en-US"/>
              </w:rPr>
              <w:t>Diverse ideation channels</w:t>
            </w:r>
          </w:p>
        </w:tc>
        <w:tc>
          <w:tcPr>
            <w:tcW w:w="5653" w:type="dxa"/>
            <w:tcMar>
              <w:top w:w="108" w:type="dxa"/>
              <w:bottom w:w="108" w:type="dxa"/>
            </w:tcMar>
          </w:tcPr>
          <w:p w14:paraId="00000194" w14:textId="77777777" w:rsidR="00985B1F" w:rsidRPr="00F2449F" w:rsidRDefault="00717D17" w:rsidP="00597470">
            <w:pPr>
              <w:rPr>
                <w:sz w:val="22"/>
                <w:szCs w:val="22"/>
                <w:lang w:val="en-US"/>
              </w:rPr>
            </w:pPr>
            <w:r w:rsidRPr="00F2449F">
              <w:rPr>
                <w:sz w:val="22"/>
                <w:szCs w:val="22"/>
                <w:lang w:val="en-US"/>
              </w:rPr>
              <w:t>The availability of various sources and methods for generating options and ideas. This includes brainstorming sessions, cross-functional collaboration, customer feedback mechanisms, open innovation partnerships, a culture of idea sharing, the encouragement of diverse perspectives, and the regular solicitation of input from multiple stakeholders.</w:t>
            </w:r>
          </w:p>
        </w:tc>
      </w:tr>
      <w:tr w:rsidR="00985B1F" w:rsidRPr="00EA736D" w14:paraId="2F40A5D2" w14:textId="77777777">
        <w:tc>
          <w:tcPr>
            <w:tcW w:w="1696" w:type="dxa"/>
            <w:vMerge/>
            <w:tcMar>
              <w:top w:w="108" w:type="dxa"/>
              <w:bottom w:w="108" w:type="dxa"/>
            </w:tcMar>
          </w:tcPr>
          <w:p w14:paraId="00000195" w14:textId="77777777" w:rsidR="00985B1F" w:rsidRPr="00F2449F" w:rsidRDefault="00985B1F" w:rsidP="00597470">
            <w:pPr>
              <w:widowControl w:val="0"/>
              <w:pBdr>
                <w:top w:val="nil"/>
                <w:left w:val="nil"/>
                <w:bottom w:val="nil"/>
                <w:right w:val="nil"/>
                <w:between w:val="nil"/>
              </w:pBdr>
              <w:rPr>
                <w:sz w:val="22"/>
                <w:szCs w:val="22"/>
                <w:lang w:val="en-US"/>
              </w:rPr>
            </w:pPr>
          </w:p>
        </w:tc>
        <w:tc>
          <w:tcPr>
            <w:tcW w:w="2273" w:type="dxa"/>
            <w:tcMar>
              <w:top w:w="108" w:type="dxa"/>
              <w:bottom w:w="108" w:type="dxa"/>
            </w:tcMar>
          </w:tcPr>
          <w:p w14:paraId="00000196" w14:textId="77777777" w:rsidR="00985B1F" w:rsidRPr="00F2449F" w:rsidRDefault="00717D17" w:rsidP="00597470">
            <w:pPr>
              <w:rPr>
                <w:sz w:val="22"/>
                <w:szCs w:val="22"/>
                <w:lang w:val="en-US"/>
              </w:rPr>
            </w:pPr>
            <w:r w:rsidRPr="00F2449F">
              <w:rPr>
                <w:sz w:val="22"/>
                <w:szCs w:val="22"/>
                <w:lang w:val="en-US"/>
              </w:rPr>
              <w:t>Structured experimentation</w:t>
            </w:r>
          </w:p>
        </w:tc>
        <w:tc>
          <w:tcPr>
            <w:tcW w:w="5653" w:type="dxa"/>
            <w:tcMar>
              <w:top w:w="108" w:type="dxa"/>
              <w:bottom w:w="108" w:type="dxa"/>
            </w:tcMar>
          </w:tcPr>
          <w:p w14:paraId="00000197" w14:textId="77777777" w:rsidR="00985B1F" w:rsidRPr="00F2449F" w:rsidRDefault="00717D17" w:rsidP="00597470">
            <w:pPr>
              <w:rPr>
                <w:sz w:val="22"/>
                <w:szCs w:val="22"/>
                <w:lang w:val="en-US"/>
              </w:rPr>
            </w:pPr>
            <w:r w:rsidRPr="00F2449F">
              <w:rPr>
                <w:sz w:val="22"/>
                <w:szCs w:val="22"/>
                <w:lang w:val="en-US"/>
              </w:rPr>
              <w:t xml:space="preserve">Structured experimentation involves a systematic approach to generating and testing options. Factors include the use of scientific methods, hypothesis testing, controlled </w:t>
            </w:r>
            <w:r w:rsidRPr="00F2449F">
              <w:rPr>
                <w:sz w:val="22"/>
                <w:szCs w:val="22"/>
                <w:lang w:val="en-US"/>
              </w:rPr>
              <w:lastRenderedPageBreak/>
              <w:t>experiments, and pilot projects to evaluate potential opportunities. Characteristics may include data-driven decision-making, clear success criteria for experiments, and a willingness to pivot or abandon options that do not meet predefined benchmarks.</w:t>
            </w:r>
          </w:p>
        </w:tc>
      </w:tr>
      <w:tr w:rsidR="00985B1F" w:rsidRPr="00EA736D" w14:paraId="5E264440" w14:textId="77777777">
        <w:tc>
          <w:tcPr>
            <w:tcW w:w="1696" w:type="dxa"/>
            <w:vMerge w:val="restart"/>
            <w:tcMar>
              <w:top w:w="108" w:type="dxa"/>
              <w:bottom w:w="108" w:type="dxa"/>
            </w:tcMar>
          </w:tcPr>
          <w:p w14:paraId="00000198" w14:textId="77777777" w:rsidR="00985B1F" w:rsidRPr="00F2449F" w:rsidRDefault="00717D17" w:rsidP="00597470">
            <w:pPr>
              <w:pBdr>
                <w:top w:val="nil"/>
                <w:left w:val="nil"/>
                <w:bottom w:val="nil"/>
                <w:right w:val="nil"/>
                <w:between w:val="nil"/>
              </w:pBdr>
              <w:rPr>
                <w:color w:val="000000"/>
                <w:sz w:val="22"/>
                <w:szCs w:val="22"/>
                <w:lang w:val="en-US"/>
              </w:rPr>
            </w:pPr>
            <w:r w:rsidRPr="00F2449F">
              <w:rPr>
                <w:color w:val="000000"/>
                <w:sz w:val="22"/>
                <w:szCs w:val="22"/>
                <w:lang w:val="en-US"/>
              </w:rPr>
              <w:lastRenderedPageBreak/>
              <w:t>Network leveraging</w:t>
            </w:r>
          </w:p>
        </w:tc>
        <w:tc>
          <w:tcPr>
            <w:tcW w:w="2273" w:type="dxa"/>
            <w:tcMar>
              <w:top w:w="108" w:type="dxa"/>
              <w:bottom w:w="108" w:type="dxa"/>
            </w:tcMar>
          </w:tcPr>
          <w:p w14:paraId="00000199" w14:textId="77777777" w:rsidR="00985B1F" w:rsidRPr="00F2449F" w:rsidRDefault="00717D17" w:rsidP="00597470">
            <w:pPr>
              <w:rPr>
                <w:sz w:val="22"/>
                <w:szCs w:val="22"/>
                <w:lang w:val="en-US"/>
              </w:rPr>
            </w:pPr>
            <w:r w:rsidRPr="00F2449F">
              <w:rPr>
                <w:sz w:val="22"/>
                <w:szCs w:val="22"/>
                <w:lang w:val="en-US"/>
              </w:rPr>
              <w:t>Strategic partnerships</w:t>
            </w:r>
          </w:p>
        </w:tc>
        <w:tc>
          <w:tcPr>
            <w:tcW w:w="5653" w:type="dxa"/>
            <w:tcMar>
              <w:top w:w="108" w:type="dxa"/>
              <w:bottom w:w="108" w:type="dxa"/>
            </w:tcMar>
          </w:tcPr>
          <w:p w14:paraId="0000019A" w14:textId="77777777" w:rsidR="00985B1F" w:rsidRPr="00F2449F" w:rsidRDefault="00717D17" w:rsidP="00597470">
            <w:pPr>
              <w:rPr>
                <w:sz w:val="22"/>
                <w:szCs w:val="22"/>
                <w:lang w:val="en-US"/>
              </w:rPr>
            </w:pPr>
            <w:r w:rsidRPr="00F2449F">
              <w:rPr>
                <w:sz w:val="22"/>
                <w:szCs w:val="22"/>
                <w:lang w:val="en-US"/>
              </w:rPr>
              <w:t>Strategic partnerships involve collaborations with external organizations or entities to leverage complementary resources, capabilities, and market reach. Factors include the identification of key partners, negotiation and alignment of mutual goals, and the establishment of shared value creation mechanisms. Characteristics encompass effective communication, trust-building, and the ability to create symbiotic relationships within the network.</w:t>
            </w:r>
          </w:p>
        </w:tc>
      </w:tr>
      <w:tr w:rsidR="00985B1F" w:rsidRPr="00EA736D" w14:paraId="7D1538B8" w14:textId="77777777">
        <w:tc>
          <w:tcPr>
            <w:tcW w:w="1696" w:type="dxa"/>
            <w:vMerge/>
            <w:tcMar>
              <w:top w:w="108" w:type="dxa"/>
              <w:bottom w:w="108" w:type="dxa"/>
            </w:tcMar>
          </w:tcPr>
          <w:p w14:paraId="0000019B" w14:textId="77777777" w:rsidR="00985B1F" w:rsidRPr="00F2449F" w:rsidRDefault="00985B1F" w:rsidP="00597470">
            <w:pPr>
              <w:widowControl w:val="0"/>
              <w:pBdr>
                <w:top w:val="nil"/>
                <w:left w:val="nil"/>
                <w:bottom w:val="nil"/>
                <w:right w:val="nil"/>
                <w:between w:val="nil"/>
              </w:pBdr>
              <w:rPr>
                <w:sz w:val="22"/>
                <w:szCs w:val="22"/>
                <w:lang w:val="en-US"/>
              </w:rPr>
            </w:pPr>
          </w:p>
        </w:tc>
        <w:tc>
          <w:tcPr>
            <w:tcW w:w="2273" w:type="dxa"/>
            <w:tcMar>
              <w:top w:w="108" w:type="dxa"/>
              <w:bottom w:w="108" w:type="dxa"/>
            </w:tcMar>
          </w:tcPr>
          <w:p w14:paraId="0000019C" w14:textId="77777777" w:rsidR="00985B1F" w:rsidRPr="00F2449F" w:rsidRDefault="00717D17" w:rsidP="00597470">
            <w:pPr>
              <w:rPr>
                <w:sz w:val="22"/>
                <w:szCs w:val="22"/>
                <w:lang w:val="en-US"/>
              </w:rPr>
            </w:pPr>
            <w:r w:rsidRPr="00F2449F">
              <w:rPr>
                <w:sz w:val="22"/>
                <w:szCs w:val="22"/>
                <w:lang w:val="en-US"/>
              </w:rPr>
              <w:t>Network orchestration</w:t>
            </w:r>
          </w:p>
        </w:tc>
        <w:tc>
          <w:tcPr>
            <w:tcW w:w="5653" w:type="dxa"/>
            <w:tcMar>
              <w:top w:w="108" w:type="dxa"/>
              <w:bottom w:w="108" w:type="dxa"/>
            </w:tcMar>
          </w:tcPr>
          <w:p w14:paraId="0000019D" w14:textId="77777777" w:rsidR="00985B1F" w:rsidRPr="00F2449F" w:rsidRDefault="00717D17" w:rsidP="00597470">
            <w:pPr>
              <w:rPr>
                <w:sz w:val="22"/>
                <w:szCs w:val="22"/>
                <w:lang w:val="en-US"/>
              </w:rPr>
            </w:pPr>
            <w:r w:rsidRPr="00F2449F">
              <w:rPr>
                <w:sz w:val="22"/>
                <w:szCs w:val="22"/>
                <w:lang w:val="en-US"/>
              </w:rPr>
              <w:t>Network orchestration refers to an organization's role in coordinating and managing the activities of various business network participants. Factors include the design of network platforms, governance structures, and the facilitation of information flow. Characteristics may encompass the ability to create win-win scenarios for network members, the establishment of rules and norms, and the monitoring of network dynamics to ensure value creation for all stakeholders.</w:t>
            </w:r>
          </w:p>
        </w:tc>
      </w:tr>
      <w:tr w:rsidR="00985B1F" w:rsidRPr="00EA736D" w14:paraId="322DD325" w14:textId="77777777">
        <w:tc>
          <w:tcPr>
            <w:tcW w:w="1696" w:type="dxa"/>
            <w:vMerge w:val="restart"/>
            <w:tcMar>
              <w:top w:w="108" w:type="dxa"/>
              <w:bottom w:w="108" w:type="dxa"/>
            </w:tcMar>
          </w:tcPr>
          <w:p w14:paraId="0000019E" w14:textId="77777777" w:rsidR="00985B1F" w:rsidRPr="00F2449F" w:rsidRDefault="00717D17" w:rsidP="00597470">
            <w:pPr>
              <w:pBdr>
                <w:top w:val="nil"/>
                <w:left w:val="nil"/>
                <w:bottom w:val="nil"/>
                <w:right w:val="nil"/>
                <w:between w:val="nil"/>
              </w:pBdr>
              <w:rPr>
                <w:color w:val="000000"/>
                <w:sz w:val="22"/>
                <w:szCs w:val="22"/>
                <w:lang w:val="en-US"/>
              </w:rPr>
            </w:pPr>
            <w:r w:rsidRPr="00F2449F">
              <w:rPr>
                <w:color w:val="000000"/>
                <w:sz w:val="22"/>
                <w:szCs w:val="22"/>
                <w:lang w:val="en-US"/>
              </w:rPr>
              <w:t>Organizational Capabilities</w:t>
            </w:r>
          </w:p>
        </w:tc>
        <w:tc>
          <w:tcPr>
            <w:tcW w:w="2273" w:type="dxa"/>
            <w:tcMar>
              <w:top w:w="108" w:type="dxa"/>
              <w:bottom w:w="108" w:type="dxa"/>
            </w:tcMar>
          </w:tcPr>
          <w:p w14:paraId="0000019F" w14:textId="77777777" w:rsidR="00985B1F" w:rsidRPr="00F2449F" w:rsidRDefault="00717D17" w:rsidP="00597470">
            <w:pPr>
              <w:rPr>
                <w:sz w:val="22"/>
                <w:szCs w:val="22"/>
                <w:lang w:val="en-US"/>
              </w:rPr>
            </w:pPr>
            <w:r w:rsidRPr="00F2449F">
              <w:rPr>
                <w:sz w:val="22"/>
                <w:szCs w:val="22"/>
                <w:lang w:val="en-US"/>
              </w:rPr>
              <w:t>Complexity mindset</w:t>
            </w:r>
          </w:p>
          <w:p w14:paraId="000001A0" w14:textId="77777777" w:rsidR="00985B1F" w:rsidRPr="00F2449F" w:rsidRDefault="00985B1F" w:rsidP="00597470">
            <w:pPr>
              <w:rPr>
                <w:sz w:val="22"/>
                <w:szCs w:val="22"/>
                <w:lang w:val="en-US"/>
              </w:rPr>
            </w:pPr>
          </w:p>
        </w:tc>
        <w:tc>
          <w:tcPr>
            <w:tcW w:w="5653" w:type="dxa"/>
            <w:tcMar>
              <w:top w:w="108" w:type="dxa"/>
              <w:bottom w:w="108" w:type="dxa"/>
            </w:tcMar>
          </w:tcPr>
          <w:p w14:paraId="000001A1" w14:textId="77777777" w:rsidR="00985B1F" w:rsidRPr="00F2449F" w:rsidRDefault="00717D17" w:rsidP="00597470">
            <w:pPr>
              <w:rPr>
                <w:sz w:val="22"/>
                <w:szCs w:val="22"/>
                <w:lang w:val="en-US"/>
              </w:rPr>
            </w:pPr>
            <w:r w:rsidRPr="00F2449F">
              <w:rPr>
                <w:sz w:val="22"/>
                <w:szCs w:val="22"/>
                <w:lang w:val="en-US"/>
              </w:rPr>
              <w:t>This coding category involves identifying discussions related to the mindset and approach that individuals or organizations have when dealing with complexity. It may encompass factors such as a willingness to embrace uncertainty, adaptability to intricate problems, and an understanding that simple solutions may not suffice in complex situations. Characteristics may include a focus on systemic thinking, the ability to navigate ambiguity, and a propensity to seek innovative solutions in intricate scenarios.</w:t>
            </w:r>
          </w:p>
        </w:tc>
      </w:tr>
      <w:tr w:rsidR="00985B1F" w:rsidRPr="00EA736D" w14:paraId="230A064A" w14:textId="77777777">
        <w:tc>
          <w:tcPr>
            <w:tcW w:w="1696" w:type="dxa"/>
            <w:vMerge/>
            <w:tcMar>
              <w:top w:w="108" w:type="dxa"/>
              <w:bottom w:w="108" w:type="dxa"/>
            </w:tcMar>
          </w:tcPr>
          <w:p w14:paraId="000001A2" w14:textId="77777777" w:rsidR="00985B1F" w:rsidRPr="00F2449F" w:rsidRDefault="00985B1F" w:rsidP="00597470">
            <w:pPr>
              <w:widowControl w:val="0"/>
              <w:pBdr>
                <w:top w:val="nil"/>
                <w:left w:val="nil"/>
                <w:bottom w:val="nil"/>
                <w:right w:val="nil"/>
                <w:between w:val="nil"/>
              </w:pBdr>
              <w:rPr>
                <w:sz w:val="22"/>
                <w:szCs w:val="22"/>
                <w:lang w:val="en-US"/>
              </w:rPr>
            </w:pPr>
          </w:p>
        </w:tc>
        <w:tc>
          <w:tcPr>
            <w:tcW w:w="2273" w:type="dxa"/>
            <w:tcMar>
              <w:top w:w="108" w:type="dxa"/>
              <w:bottom w:w="108" w:type="dxa"/>
            </w:tcMar>
          </w:tcPr>
          <w:p w14:paraId="000001A3" w14:textId="77777777" w:rsidR="00985B1F" w:rsidRPr="00F2449F" w:rsidRDefault="00717D17" w:rsidP="00597470">
            <w:pPr>
              <w:rPr>
                <w:sz w:val="22"/>
                <w:szCs w:val="22"/>
                <w:lang w:val="en-US"/>
              </w:rPr>
            </w:pPr>
            <w:r w:rsidRPr="00F2449F">
              <w:rPr>
                <w:sz w:val="22"/>
                <w:szCs w:val="22"/>
                <w:lang w:val="en-US"/>
              </w:rPr>
              <w:t>Perspective communication</w:t>
            </w:r>
          </w:p>
          <w:p w14:paraId="000001A4" w14:textId="77777777" w:rsidR="00985B1F" w:rsidRPr="00F2449F" w:rsidRDefault="00985B1F" w:rsidP="00597470">
            <w:pPr>
              <w:rPr>
                <w:sz w:val="22"/>
                <w:szCs w:val="22"/>
                <w:lang w:val="en-US"/>
              </w:rPr>
            </w:pPr>
          </w:p>
        </w:tc>
        <w:tc>
          <w:tcPr>
            <w:tcW w:w="5653" w:type="dxa"/>
            <w:tcMar>
              <w:top w:w="108" w:type="dxa"/>
              <w:bottom w:w="108" w:type="dxa"/>
            </w:tcMar>
          </w:tcPr>
          <w:p w14:paraId="000001A5" w14:textId="77777777" w:rsidR="00985B1F" w:rsidRPr="00F2449F" w:rsidRDefault="00717D17" w:rsidP="00597470">
            <w:pPr>
              <w:rPr>
                <w:sz w:val="22"/>
                <w:szCs w:val="22"/>
                <w:lang w:val="en-US"/>
              </w:rPr>
            </w:pPr>
            <w:r w:rsidRPr="00F2449F">
              <w:rPr>
                <w:sz w:val="22"/>
                <w:szCs w:val="22"/>
                <w:lang w:val="en-US"/>
              </w:rPr>
              <w:t>Perspective communication involves the way individuals or entities convey their viewpoints, ideas, or information. It encompasses factors such as effective communication skills, the use of diverse perspectives, and the ability to articulate thoughts clearly. Characteristics may include transparent and inclusive communication practices, active listening, the consideration of various viewpoints, and the capacity to convey complex concepts in a comprehensible manner.</w:t>
            </w:r>
          </w:p>
        </w:tc>
      </w:tr>
      <w:tr w:rsidR="00985B1F" w:rsidRPr="00EA736D" w14:paraId="52A0022C" w14:textId="77777777">
        <w:tc>
          <w:tcPr>
            <w:tcW w:w="1696" w:type="dxa"/>
            <w:vMerge/>
            <w:tcMar>
              <w:top w:w="108" w:type="dxa"/>
              <w:bottom w:w="108" w:type="dxa"/>
            </w:tcMar>
          </w:tcPr>
          <w:p w14:paraId="000001A6" w14:textId="77777777" w:rsidR="00985B1F" w:rsidRPr="00F2449F" w:rsidRDefault="00985B1F" w:rsidP="00597470">
            <w:pPr>
              <w:widowControl w:val="0"/>
              <w:pBdr>
                <w:top w:val="nil"/>
                <w:left w:val="nil"/>
                <w:bottom w:val="nil"/>
                <w:right w:val="nil"/>
                <w:between w:val="nil"/>
              </w:pBdr>
              <w:rPr>
                <w:sz w:val="22"/>
                <w:szCs w:val="22"/>
                <w:lang w:val="en-US"/>
              </w:rPr>
            </w:pPr>
          </w:p>
        </w:tc>
        <w:tc>
          <w:tcPr>
            <w:tcW w:w="2273" w:type="dxa"/>
            <w:tcMar>
              <w:top w:w="108" w:type="dxa"/>
              <w:bottom w:w="108" w:type="dxa"/>
            </w:tcMar>
          </w:tcPr>
          <w:p w14:paraId="000001A7" w14:textId="77777777" w:rsidR="00985B1F" w:rsidRPr="00F2449F" w:rsidRDefault="00717D17" w:rsidP="00597470">
            <w:pPr>
              <w:rPr>
                <w:sz w:val="22"/>
                <w:szCs w:val="22"/>
                <w:lang w:val="en-US"/>
              </w:rPr>
            </w:pPr>
            <w:r w:rsidRPr="00F2449F">
              <w:rPr>
                <w:sz w:val="22"/>
                <w:szCs w:val="22"/>
                <w:lang w:val="en-US"/>
              </w:rPr>
              <w:t>Empowered employees</w:t>
            </w:r>
          </w:p>
        </w:tc>
        <w:tc>
          <w:tcPr>
            <w:tcW w:w="5653" w:type="dxa"/>
            <w:tcMar>
              <w:top w:w="108" w:type="dxa"/>
              <w:bottom w:w="108" w:type="dxa"/>
            </w:tcMar>
          </w:tcPr>
          <w:p w14:paraId="000001A8" w14:textId="77777777" w:rsidR="00985B1F" w:rsidRPr="00F2449F" w:rsidRDefault="00717D17" w:rsidP="00597470">
            <w:pPr>
              <w:rPr>
                <w:sz w:val="22"/>
                <w:szCs w:val="22"/>
                <w:lang w:val="en-US"/>
              </w:rPr>
            </w:pPr>
            <w:r w:rsidRPr="00F2449F">
              <w:rPr>
                <w:sz w:val="22"/>
                <w:szCs w:val="22"/>
                <w:lang w:val="en-US"/>
              </w:rPr>
              <w:t>This coding category pertains to discussions regarding the empowerment of employees within an organization. Factors include providing employees with decision-making authority, autonomy, and a sense of ownership over their work. Characteristics may encompass a culture of trust, opportunities for skill development, a supportive environment for innovation, and the delegation of responsibilities to enable employees to make meaningful contributions.</w:t>
            </w:r>
          </w:p>
        </w:tc>
      </w:tr>
      <w:tr w:rsidR="00985B1F" w:rsidRPr="00EA736D" w14:paraId="5F804227" w14:textId="77777777">
        <w:tc>
          <w:tcPr>
            <w:tcW w:w="1696" w:type="dxa"/>
            <w:vMerge w:val="restart"/>
            <w:tcMar>
              <w:top w:w="108" w:type="dxa"/>
              <w:bottom w:w="108" w:type="dxa"/>
            </w:tcMar>
          </w:tcPr>
          <w:p w14:paraId="000001A9" w14:textId="77777777" w:rsidR="00985B1F" w:rsidRPr="00F2449F" w:rsidRDefault="00717D17" w:rsidP="00597470">
            <w:pPr>
              <w:pBdr>
                <w:top w:val="nil"/>
                <w:left w:val="nil"/>
                <w:bottom w:val="nil"/>
                <w:right w:val="nil"/>
                <w:between w:val="nil"/>
              </w:pBdr>
              <w:rPr>
                <w:color w:val="000000"/>
                <w:sz w:val="22"/>
                <w:szCs w:val="22"/>
                <w:lang w:val="en-US"/>
              </w:rPr>
            </w:pPr>
            <w:r w:rsidRPr="00F2449F">
              <w:rPr>
                <w:color w:val="000000"/>
                <w:sz w:val="22"/>
                <w:szCs w:val="22"/>
                <w:lang w:val="en-US"/>
              </w:rPr>
              <w:t>Technological Agility</w:t>
            </w:r>
          </w:p>
        </w:tc>
        <w:tc>
          <w:tcPr>
            <w:tcW w:w="2273" w:type="dxa"/>
            <w:tcMar>
              <w:top w:w="108" w:type="dxa"/>
              <w:bottom w:w="108" w:type="dxa"/>
            </w:tcMar>
          </w:tcPr>
          <w:p w14:paraId="000001AA" w14:textId="77777777" w:rsidR="00985B1F" w:rsidRPr="00F2449F" w:rsidRDefault="00717D17" w:rsidP="00597470">
            <w:pPr>
              <w:rPr>
                <w:sz w:val="22"/>
                <w:szCs w:val="22"/>
                <w:lang w:val="en-US"/>
              </w:rPr>
            </w:pPr>
            <w:r w:rsidRPr="00F2449F">
              <w:rPr>
                <w:sz w:val="22"/>
                <w:szCs w:val="22"/>
                <w:lang w:val="en-US"/>
              </w:rPr>
              <w:t>Artificial intelligence</w:t>
            </w:r>
          </w:p>
        </w:tc>
        <w:tc>
          <w:tcPr>
            <w:tcW w:w="5653" w:type="dxa"/>
            <w:tcMar>
              <w:top w:w="108" w:type="dxa"/>
              <w:bottom w:w="108" w:type="dxa"/>
            </w:tcMar>
          </w:tcPr>
          <w:p w14:paraId="000001AB" w14:textId="77777777" w:rsidR="00985B1F" w:rsidRPr="00F2449F" w:rsidRDefault="00717D17" w:rsidP="00597470">
            <w:pPr>
              <w:rPr>
                <w:sz w:val="22"/>
                <w:szCs w:val="22"/>
                <w:lang w:val="en-US"/>
              </w:rPr>
            </w:pPr>
            <w:r w:rsidRPr="00F2449F">
              <w:rPr>
                <w:sz w:val="22"/>
                <w:szCs w:val="22"/>
                <w:lang w:val="en-US"/>
              </w:rPr>
              <w:t xml:space="preserve">Discussions related to artificial intelligence (AI) involve factors like the implementation of AI technologies, their </w:t>
            </w:r>
            <w:r w:rsidRPr="00F2449F">
              <w:rPr>
                <w:sz w:val="22"/>
                <w:szCs w:val="22"/>
                <w:lang w:val="en-US"/>
              </w:rPr>
              <w:lastRenderedPageBreak/>
              <w:t>impact on operations, and the utilization of AI for data analysis, decision-making, or automation. Characteristics may include the integration of machine learning algorithms, natural language processing, robotics, and the potential to enhance efficiency, accuracy, and data-driven insights within an organization.</w:t>
            </w:r>
          </w:p>
        </w:tc>
      </w:tr>
      <w:tr w:rsidR="00985B1F" w:rsidRPr="00EA736D" w14:paraId="5676A8C9" w14:textId="77777777">
        <w:tc>
          <w:tcPr>
            <w:tcW w:w="1696" w:type="dxa"/>
            <w:vMerge/>
            <w:tcMar>
              <w:top w:w="108" w:type="dxa"/>
              <w:bottom w:w="108" w:type="dxa"/>
            </w:tcMar>
          </w:tcPr>
          <w:p w14:paraId="000001AC" w14:textId="77777777" w:rsidR="00985B1F" w:rsidRPr="00F2449F" w:rsidRDefault="00985B1F" w:rsidP="00597470">
            <w:pPr>
              <w:widowControl w:val="0"/>
              <w:pBdr>
                <w:top w:val="nil"/>
                <w:left w:val="nil"/>
                <w:bottom w:val="nil"/>
                <w:right w:val="nil"/>
                <w:between w:val="nil"/>
              </w:pBdr>
              <w:rPr>
                <w:sz w:val="22"/>
                <w:szCs w:val="22"/>
                <w:lang w:val="en-US"/>
              </w:rPr>
            </w:pPr>
          </w:p>
        </w:tc>
        <w:tc>
          <w:tcPr>
            <w:tcW w:w="2273" w:type="dxa"/>
            <w:tcMar>
              <w:top w:w="108" w:type="dxa"/>
              <w:bottom w:w="108" w:type="dxa"/>
            </w:tcMar>
          </w:tcPr>
          <w:p w14:paraId="000001AD" w14:textId="77777777" w:rsidR="00985B1F" w:rsidRPr="00F2449F" w:rsidRDefault="00717D17" w:rsidP="00597470">
            <w:pPr>
              <w:rPr>
                <w:sz w:val="22"/>
                <w:szCs w:val="22"/>
                <w:lang w:val="en-US"/>
              </w:rPr>
            </w:pPr>
            <w:r w:rsidRPr="00F2449F">
              <w:rPr>
                <w:sz w:val="22"/>
                <w:szCs w:val="22"/>
                <w:lang w:val="en-US"/>
              </w:rPr>
              <w:t>Automation</w:t>
            </w:r>
          </w:p>
          <w:p w14:paraId="000001AE" w14:textId="77777777" w:rsidR="00985B1F" w:rsidRPr="00F2449F" w:rsidRDefault="00985B1F" w:rsidP="00597470">
            <w:pPr>
              <w:rPr>
                <w:sz w:val="22"/>
                <w:szCs w:val="22"/>
                <w:lang w:val="en-US"/>
              </w:rPr>
            </w:pPr>
          </w:p>
        </w:tc>
        <w:tc>
          <w:tcPr>
            <w:tcW w:w="5653" w:type="dxa"/>
            <w:tcMar>
              <w:top w:w="108" w:type="dxa"/>
              <w:bottom w:w="108" w:type="dxa"/>
            </w:tcMar>
          </w:tcPr>
          <w:p w14:paraId="000001AF" w14:textId="77777777" w:rsidR="00985B1F" w:rsidRPr="00F2449F" w:rsidRDefault="00717D17" w:rsidP="00597470">
            <w:pPr>
              <w:rPr>
                <w:sz w:val="22"/>
                <w:szCs w:val="22"/>
                <w:lang w:val="en-US"/>
              </w:rPr>
            </w:pPr>
            <w:r w:rsidRPr="00F2449F">
              <w:rPr>
                <w:sz w:val="22"/>
                <w:szCs w:val="22"/>
                <w:lang w:val="en-US"/>
              </w:rPr>
              <w:t>Automation coding focuses on factors associated with the automation of tasks and processes within a business. This can include the adoption of robotic process automation (RPA), software bots, or other automation tools. Characteristics may involve streamlining repetitive tasks, reducing human intervention, improving workflow efficiency, and minimizing errors in routine operations.</w:t>
            </w:r>
          </w:p>
        </w:tc>
      </w:tr>
      <w:tr w:rsidR="00985B1F" w:rsidRPr="00EA736D" w14:paraId="2135FFF6" w14:textId="77777777">
        <w:tc>
          <w:tcPr>
            <w:tcW w:w="1696" w:type="dxa"/>
            <w:vMerge/>
            <w:tcMar>
              <w:top w:w="108" w:type="dxa"/>
              <w:bottom w:w="108" w:type="dxa"/>
            </w:tcMar>
          </w:tcPr>
          <w:p w14:paraId="000001B0" w14:textId="77777777" w:rsidR="00985B1F" w:rsidRPr="00F2449F" w:rsidRDefault="00985B1F" w:rsidP="00597470">
            <w:pPr>
              <w:widowControl w:val="0"/>
              <w:pBdr>
                <w:top w:val="nil"/>
                <w:left w:val="nil"/>
                <w:bottom w:val="nil"/>
                <w:right w:val="nil"/>
                <w:between w:val="nil"/>
              </w:pBdr>
              <w:rPr>
                <w:sz w:val="22"/>
                <w:szCs w:val="22"/>
                <w:lang w:val="en-US"/>
              </w:rPr>
            </w:pPr>
          </w:p>
        </w:tc>
        <w:tc>
          <w:tcPr>
            <w:tcW w:w="2273" w:type="dxa"/>
            <w:tcMar>
              <w:top w:w="108" w:type="dxa"/>
              <w:bottom w:w="108" w:type="dxa"/>
            </w:tcMar>
          </w:tcPr>
          <w:p w14:paraId="000001B1" w14:textId="77777777" w:rsidR="00985B1F" w:rsidRPr="00F2449F" w:rsidRDefault="00717D17" w:rsidP="00597470">
            <w:pPr>
              <w:rPr>
                <w:sz w:val="22"/>
                <w:szCs w:val="22"/>
                <w:lang w:val="en-US"/>
              </w:rPr>
            </w:pPr>
            <w:r w:rsidRPr="00F2449F">
              <w:rPr>
                <w:sz w:val="22"/>
                <w:szCs w:val="22"/>
                <w:lang w:val="en-US"/>
              </w:rPr>
              <w:t>Advanced analytics</w:t>
            </w:r>
          </w:p>
        </w:tc>
        <w:tc>
          <w:tcPr>
            <w:tcW w:w="5653" w:type="dxa"/>
            <w:tcMar>
              <w:top w:w="108" w:type="dxa"/>
              <w:bottom w:w="108" w:type="dxa"/>
            </w:tcMar>
          </w:tcPr>
          <w:p w14:paraId="000001B2" w14:textId="77777777" w:rsidR="00985B1F" w:rsidRPr="00F2449F" w:rsidRDefault="00717D17" w:rsidP="00597470">
            <w:pPr>
              <w:rPr>
                <w:sz w:val="22"/>
                <w:szCs w:val="22"/>
                <w:lang w:val="en-US"/>
              </w:rPr>
            </w:pPr>
            <w:r w:rsidRPr="00F2449F">
              <w:rPr>
                <w:sz w:val="22"/>
                <w:szCs w:val="22"/>
                <w:lang w:val="en-US"/>
              </w:rPr>
              <w:t>This coding category revolves around discussions related to advanced analytics techniques and practices. Factors include the use of data analytics, machine learning, predictive modeling, and data-driven decision-making. Characteristics may include leveraging big data, statistical analysis, data visualization, and the ability to extract valuable insights for strategic planning, optimization, and problem-solving.</w:t>
            </w:r>
          </w:p>
        </w:tc>
      </w:tr>
    </w:tbl>
    <w:p w14:paraId="000001B3" w14:textId="77777777" w:rsidR="00985B1F" w:rsidRPr="00F2449F" w:rsidRDefault="00985B1F" w:rsidP="007B62B8">
      <w:pPr>
        <w:spacing w:line="480" w:lineRule="auto"/>
        <w:jc w:val="both"/>
        <w:rPr>
          <w:lang w:val="en-US"/>
        </w:rPr>
      </w:pPr>
    </w:p>
    <w:p w14:paraId="000001B4" w14:textId="47CA35F8" w:rsidR="00985B1F" w:rsidRPr="00F2449F" w:rsidRDefault="00717D17" w:rsidP="007B62B8">
      <w:pPr>
        <w:spacing w:line="480" w:lineRule="auto"/>
        <w:jc w:val="both"/>
        <w:rPr>
          <w:b/>
          <w:lang w:val="en-US"/>
        </w:rPr>
      </w:pPr>
      <w:r w:rsidRPr="00F2449F">
        <w:rPr>
          <w:b/>
          <w:lang w:val="en-US"/>
        </w:rPr>
        <w:t>4. Findings</w:t>
      </w:r>
    </w:p>
    <w:p w14:paraId="0024C2DE" w14:textId="77777777" w:rsidR="00DA2B3F" w:rsidRPr="00F2449F" w:rsidRDefault="00717D17" w:rsidP="00DA2B3F">
      <w:pPr>
        <w:spacing w:line="480" w:lineRule="auto"/>
        <w:ind w:right="561" w:firstLine="720"/>
        <w:jc w:val="both"/>
        <w:rPr>
          <w:lang w:val="en-US"/>
        </w:rPr>
      </w:pPr>
      <w:r w:rsidRPr="00F2449F">
        <w:rPr>
          <w:lang w:val="en-US"/>
        </w:rPr>
        <w:t xml:space="preserve">This research endeavors to forge a conceptual framework of adaptation that empowers organizations to adeptly navigate the persistent uncertainty inherent in contemporary business environments. To this end, our exploration of adaptation transcended unidimensional relational models and rigid management paradigms. Participants commonly deliberated on adaptation within contexts of uncertainty, extending beyond the confines of readiness and resilience. Instead, they advocated for a more expansive network-centric outlook, one that capitalizes on a company's capacity to both exploit internal resources and explore external landscapes simultaneously. </w:t>
      </w:r>
    </w:p>
    <w:p w14:paraId="000001B6" w14:textId="20127BD1" w:rsidR="00985B1F" w:rsidRPr="00F2449F" w:rsidRDefault="00717D17" w:rsidP="00DA2B3F">
      <w:pPr>
        <w:spacing w:line="480" w:lineRule="auto"/>
        <w:ind w:right="561" w:firstLine="720"/>
        <w:jc w:val="both"/>
        <w:rPr>
          <w:lang w:val="en-US"/>
        </w:rPr>
      </w:pPr>
      <w:r w:rsidRPr="00F2449F">
        <w:rPr>
          <w:i/>
          <w:color w:val="000000"/>
          <w:lang w:val="en-US"/>
        </w:rPr>
        <w:t>“Becoming part of a network of support that is bigger than our industry allowed us to access extremely useful information that we can use to adapt our choices, for example in the choice of the right country for expansion. A small change in regulation could suddenly make a country the best target for your products, when up until the day before, it was not a good option. A network of companies supporting each other is the best way to have access to similar information and fight uncertainty on what to do.” (CEO, Manufacturing)</w:t>
      </w:r>
    </w:p>
    <w:p w14:paraId="729487BB" w14:textId="77777777" w:rsidR="00DA2B3F" w:rsidRPr="00F2449F" w:rsidRDefault="00717D17" w:rsidP="00DA2B3F">
      <w:pPr>
        <w:spacing w:line="480" w:lineRule="auto"/>
        <w:ind w:right="560" w:firstLine="720"/>
        <w:jc w:val="both"/>
        <w:rPr>
          <w:lang w:val="en-US"/>
        </w:rPr>
      </w:pPr>
      <w:r w:rsidRPr="00F2449F">
        <w:rPr>
          <w:lang w:val="en-US"/>
        </w:rPr>
        <w:lastRenderedPageBreak/>
        <w:t xml:space="preserve">In the delineated context, adaptation assumes a distinct characterization, transcending the conventional notion of enabling a company to withstand shocks arising from crises and endemic uncertainty. Rather, this form of adaptation amplifies a company’s capacity not only to endure, but also to flourish amidst both profound and superficial shifts emblematic of dynamic and unstable business milieus. Such shifts encompass alterations in infrastructure and regulatory frameworks, which possess the potential to fundamentally influence a company's operational modus operandi and strategic trajectories. </w:t>
      </w:r>
    </w:p>
    <w:p w14:paraId="000001B8" w14:textId="13605B20" w:rsidR="00985B1F" w:rsidRPr="00F2449F" w:rsidRDefault="00717D17" w:rsidP="00DA2B3F">
      <w:pPr>
        <w:spacing w:line="480" w:lineRule="auto"/>
        <w:ind w:right="560" w:firstLine="720"/>
        <w:jc w:val="both"/>
        <w:rPr>
          <w:lang w:val="en-US"/>
        </w:rPr>
      </w:pPr>
      <w:r w:rsidRPr="00F2449F">
        <w:rPr>
          <w:i/>
          <w:color w:val="000000"/>
          <w:lang w:val="en-US"/>
        </w:rPr>
        <w:t>“Our products are extremely complex, and they require strict warranty certificates. On top of this, we need to add the difficulty of dealing with the uncertainty and changes of circumstances and infrastructure of the different countries we want to expand to. The best strategy we can have is that of rethinking and adapting the technical features and functionalities of our products to the context we are facing. If we adapt our way to do business to the specific circumstances, we also have better chances of finding the right partners to support us.” (CEO, Medical Devices)</w:t>
      </w:r>
    </w:p>
    <w:p w14:paraId="1FA0AD4F" w14:textId="77777777" w:rsidR="00DA2B3F" w:rsidRPr="00F2449F" w:rsidRDefault="00717D17" w:rsidP="00DA2B3F">
      <w:pPr>
        <w:spacing w:line="480" w:lineRule="auto"/>
        <w:ind w:right="560" w:firstLine="720"/>
        <w:jc w:val="both"/>
        <w:rPr>
          <w:lang w:val="en-US"/>
        </w:rPr>
      </w:pPr>
      <w:r w:rsidRPr="00F2449F">
        <w:rPr>
          <w:lang w:val="en-US"/>
        </w:rPr>
        <w:t>In navigating persistently uncertain environments, the process of adaptation assumes the attributes akin to antifragility. This implies that organizations not only fortify their resilience against inherent volatility but also harness it to bolster their capacity for growth and improvement.</w:t>
      </w:r>
    </w:p>
    <w:p w14:paraId="000001BA" w14:textId="66D8A0E0" w:rsidR="00985B1F" w:rsidRPr="00F2449F" w:rsidRDefault="00717D17" w:rsidP="00DA2B3F">
      <w:pPr>
        <w:spacing w:line="480" w:lineRule="auto"/>
        <w:ind w:right="560" w:firstLine="720"/>
        <w:jc w:val="both"/>
        <w:rPr>
          <w:lang w:val="en-US"/>
        </w:rPr>
      </w:pPr>
      <w:r w:rsidRPr="00F2449F">
        <w:rPr>
          <w:i/>
          <w:color w:val="000000"/>
          <w:lang w:val="en-US"/>
        </w:rPr>
        <w:t>“We leverage our relationships and technological capabilities to fight against uncertainty but at the same time we are actively seeking opportunities from instability to emerge stronger and more competitive.” (CEO, Chemicals)</w:t>
      </w:r>
    </w:p>
    <w:p w14:paraId="000001BB" w14:textId="77777777" w:rsidR="00985B1F" w:rsidRPr="00F2449F" w:rsidRDefault="00717D17" w:rsidP="007B62B8">
      <w:pPr>
        <w:spacing w:line="480" w:lineRule="auto"/>
        <w:ind w:right="560" w:firstLine="567"/>
        <w:jc w:val="both"/>
        <w:rPr>
          <w:lang w:val="en-US"/>
        </w:rPr>
      </w:pPr>
      <w:r w:rsidRPr="00F2449F">
        <w:rPr>
          <w:lang w:val="en-US"/>
        </w:rPr>
        <w:t xml:space="preserve">Drawing on these findings, we introduce the concept of antifragile adaptation, defined as a proactive organizational process that empowers enterprises to not only thrive amidst endemic uncertainty, but also to surpass conventional forecasts, exceed resistance to adverse events, and dynamically extract benefits from unpredictable circumstances, fostering agile responses to perpetually shifting conditions. This dynamic process of antifragile adaptation hinges on the </w:t>
      </w:r>
      <w:r w:rsidRPr="00F2449F">
        <w:rPr>
          <w:lang w:val="en-US"/>
        </w:rPr>
        <w:lastRenderedPageBreak/>
        <w:t>synchronized activation of specialized processes, skills, and tools, particularly at the levels of relationships and networks.</w:t>
      </w:r>
    </w:p>
    <w:p w14:paraId="000001BC" w14:textId="7756203E" w:rsidR="00985B1F" w:rsidRPr="00F2449F" w:rsidRDefault="00717D17" w:rsidP="007B62B8">
      <w:pPr>
        <w:spacing w:line="480" w:lineRule="auto"/>
        <w:ind w:right="560" w:firstLine="567"/>
        <w:jc w:val="both"/>
        <w:rPr>
          <w:lang w:val="en-US"/>
        </w:rPr>
      </w:pPr>
      <w:r w:rsidRPr="00F2449F">
        <w:rPr>
          <w:lang w:val="en-US"/>
        </w:rPr>
        <w:t>Participants belonging to organizations grappling with uncertain business environments engaged in a nuanced exploration of antifragile adaptation, acknowledging its intricacies and multifaceted nature. Through shared experiences and narratives, they unearthed a spectrum of influential practices and phenomena governing a company's ability to adapt in an antifragile manner. These insights converged to shape a comprehensive framework, delineating three pivotal</w:t>
      </w:r>
      <w:r w:rsidR="00F038D9" w:rsidRPr="00F2449F">
        <w:rPr>
          <w:lang w:val="en-US"/>
        </w:rPr>
        <w:t xml:space="preserve"> </w:t>
      </w:r>
      <w:r w:rsidRPr="00F2449F">
        <w:rPr>
          <w:lang w:val="en-US"/>
        </w:rPr>
        <w:t xml:space="preserve">antecedents </w:t>
      </w:r>
      <w:r w:rsidR="00F038D9" w:rsidRPr="00F2449F">
        <w:rPr>
          <w:lang w:val="en-US"/>
        </w:rPr>
        <w:t xml:space="preserve">that are </w:t>
      </w:r>
      <w:r w:rsidRPr="00F2449F">
        <w:rPr>
          <w:lang w:val="en-US"/>
        </w:rPr>
        <w:t>paramount in shaping antifragile adaptation: ambidexterity, option generation, and network leveraging. Additionally, two instrumental enablers emerged: organizational capabilities and technological agility. These enablers encapsulate an array of competencies, strategies, and tools that organizations can deploy to amplify the benefits of antifragile adaptation, ensuring favorable outcomes even amidst precarious conditions. In Figure 2, we present the framework of antifragile adaptation, and in the subsequent sections, we provide an in-depth exploration of both its antecedents and enablers.</w:t>
      </w:r>
    </w:p>
    <w:p w14:paraId="000001BD" w14:textId="77777777" w:rsidR="00985B1F" w:rsidRPr="00F2449F" w:rsidRDefault="00985B1F" w:rsidP="007B62B8">
      <w:pPr>
        <w:keepNext/>
        <w:pBdr>
          <w:top w:val="nil"/>
          <w:left w:val="nil"/>
          <w:bottom w:val="nil"/>
          <w:right w:val="nil"/>
          <w:between w:val="nil"/>
        </w:pBdr>
        <w:spacing w:after="200"/>
        <w:jc w:val="both"/>
        <w:rPr>
          <w:b/>
          <w:color w:val="000000"/>
          <w:lang w:val="en-US"/>
        </w:rPr>
      </w:pPr>
    </w:p>
    <w:p w14:paraId="000001BE" w14:textId="7CA7E07D" w:rsidR="00985B1F" w:rsidRPr="00F2449F" w:rsidRDefault="00717D17" w:rsidP="007B62B8">
      <w:pPr>
        <w:keepNext/>
        <w:pBdr>
          <w:top w:val="nil"/>
          <w:left w:val="nil"/>
          <w:bottom w:val="nil"/>
          <w:right w:val="nil"/>
          <w:between w:val="nil"/>
        </w:pBdr>
        <w:spacing w:after="200"/>
        <w:jc w:val="both"/>
        <w:rPr>
          <w:b/>
          <w:color w:val="000000"/>
          <w:lang w:val="en-US"/>
        </w:rPr>
      </w:pPr>
      <w:r w:rsidRPr="00F2449F">
        <w:rPr>
          <w:b/>
          <w:color w:val="000000"/>
          <w:lang w:val="en-US"/>
        </w:rPr>
        <w:t xml:space="preserve">Figure 2 – A framework of </w:t>
      </w:r>
      <w:r w:rsidR="00DA2B3F" w:rsidRPr="00F2449F">
        <w:rPr>
          <w:b/>
          <w:color w:val="000000"/>
          <w:lang w:val="en-US"/>
        </w:rPr>
        <w:t>A</w:t>
      </w:r>
      <w:r w:rsidRPr="00F2449F">
        <w:rPr>
          <w:b/>
          <w:color w:val="000000"/>
          <w:lang w:val="en-US"/>
        </w:rPr>
        <w:t xml:space="preserve">ntifragile </w:t>
      </w:r>
      <w:r w:rsidR="00DA2B3F" w:rsidRPr="00F2449F">
        <w:rPr>
          <w:b/>
          <w:color w:val="000000"/>
          <w:lang w:val="en-US"/>
        </w:rPr>
        <w:t>A</w:t>
      </w:r>
      <w:r w:rsidRPr="00F2449F">
        <w:rPr>
          <w:b/>
          <w:color w:val="000000"/>
          <w:lang w:val="en-US"/>
        </w:rPr>
        <w:t>daptation</w:t>
      </w:r>
    </w:p>
    <w:p w14:paraId="000001BF" w14:textId="77777777" w:rsidR="00985B1F" w:rsidRPr="00F2449F" w:rsidRDefault="00717D17" w:rsidP="007B62B8">
      <w:pPr>
        <w:spacing w:line="480" w:lineRule="auto"/>
        <w:jc w:val="both"/>
        <w:rPr>
          <w:lang w:val="en-US"/>
        </w:rPr>
      </w:pPr>
      <w:r w:rsidRPr="00F2449F">
        <w:rPr>
          <w:noProof/>
          <w:lang w:val="en-US"/>
        </w:rPr>
        <w:drawing>
          <wp:inline distT="0" distB="0" distL="0" distR="0" wp14:anchorId="52200AF4" wp14:editId="325123C9">
            <wp:extent cx="6116320" cy="3319780"/>
            <wp:effectExtent l="0" t="0" r="0" b="0"/>
            <wp:docPr id="11" name="image2.png" descr="A black background with arrows pointing up&#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png" descr="A black background with arrows pointing up&#10;&#10;Description automatically generated"/>
                    <pic:cNvPicPr preferRelativeResize="0"/>
                  </pic:nvPicPr>
                  <pic:blipFill>
                    <a:blip r:embed="rId8"/>
                    <a:srcRect/>
                    <a:stretch>
                      <a:fillRect/>
                    </a:stretch>
                  </pic:blipFill>
                  <pic:spPr>
                    <a:xfrm>
                      <a:off x="0" y="0"/>
                      <a:ext cx="6116320" cy="3319780"/>
                    </a:xfrm>
                    <a:prstGeom prst="rect">
                      <a:avLst/>
                    </a:prstGeom>
                    <a:ln/>
                  </pic:spPr>
                </pic:pic>
              </a:graphicData>
            </a:graphic>
          </wp:inline>
        </w:drawing>
      </w:r>
    </w:p>
    <w:p w14:paraId="000001C0" w14:textId="77777777" w:rsidR="00985B1F" w:rsidRPr="00F2449F" w:rsidRDefault="00985B1F" w:rsidP="007B62B8">
      <w:pPr>
        <w:spacing w:line="480" w:lineRule="auto"/>
        <w:jc w:val="both"/>
        <w:rPr>
          <w:lang w:val="en-US"/>
        </w:rPr>
      </w:pPr>
    </w:p>
    <w:p w14:paraId="000001C1" w14:textId="77777777" w:rsidR="00985B1F" w:rsidRPr="00F2449F" w:rsidRDefault="00717D17" w:rsidP="007B62B8">
      <w:pPr>
        <w:spacing w:line="480" w:lineRule="auto"/>
        <w:jc w:val="both"/>
        <w:rPr>
          <w:b/>
          <w:color w:val="000000"/>
          <w:lang w:val="en-US"/>
        </w:rPr>
      </w:pPr>
      <w:r w:rsidRPr="00F2449F">
        <w:rPr>
          <w:b/>
          <w:color w:val="222222"/>
          <w:lang w:val="en-US"/>
        </w:rPr>
        <w:t>4.1. The Antecedents of Antifragile Adaptation</w:t>
      </w:r>
    </w:p>
    <w:p w14:paraId="000001C2" w14:textId="77777777" w:rsidR="00985B1F" w:rsidRPr="00F2449F" w:rsidRDefault="00717D17" w:rsidP="007B62B8">
      <w:pPr>
        <w:pBdr>
          <w:top w:val="nil"/>
          <w:left w:val="nil"/>
          <w:bottom w:val="nil"/>
          <w:right w:val="nil"/>
          <w:between w:val="nil"/>
        </w:pBdr>
        <w:shd w:val="clear" w:color="auto" w:fill="FFFFFF"/>
        <w:spacing w:line="480" w:lineRule="auto"/>
        <w:ind w:firstLine="567"/>
        <w:jc w:val="both"/>
        <w:rPr>
          <w:color w:val="000000"/>
          <w:lang w:val="en-US"/>
        </w:rPr>
      </w:pPr>
      <w:r w:rsidRPr="00F2449F">
        <w:rPr>
          <w:color w:val="000000"/>
          <w:lang w:val="en-US"/>
        </w:rPr>
        <w:t>We identify three pivotal antecedents that propel antifragile adaptation: (1) Ambidexterity, (2) Option generation, and (3) Network leveraging. The orchestrated deployment of these antecedents significantly amplifies an organization's capacity to acclimate to dynamic conditions, explore novel avenues for growth, and exhibit nimbleness in countering external adversities. This strategic amalgamation not only heightens adaptability but also empowers the organization to extract value from uncertainty, even amid turbulent environments. In essence, this synergistic interplay serves as a cornerstone for fostering antifragility and capitalizing on disruptions to spur organizational advancement.</w:t>
      </w:r>
    </w:p>
    <w:p w14:paraId="5070C9CD" w14:textId="77777777" w:rsidR="00DA2B3F" w:rsidRPr="00F2449F" w:rsidRDefault="00717D17" w:rsidP="00DA2B3F">
      <w:pPr>
        <w:pBdr>
          <w:top w:val="nil"/>
          <w:left w:val="nil"/>
          <w:bottom w:val="nil"/>
          <w:right w:val="nil"/>
          <w:between w:val="nil"/>
        </w:pBdr>
        <w:shd w:val="clear" w:color="auto" w:fill="FFFFFF"/>
        <w:spacing w:line="480" w:lineRule="auto"/>
        <w:ind w:firstLine="567"/>
        <w:jc w:val="both"/>
        <w:rPr>
          <w:color w:val="000000"/>
          <w:lang w:val="en-US"/>
        </w:rPr>
      </w:pPr>
      <w:r w:rsidRPr="00F2449F">
        <w:rPr>
          <w:color w:val="000000"/>
          <w:lang w:val="en-US"/>
        </w:rPr>
        <w:t xml:space="preserve">The first factor contributing to antifragile adaptation is ambidexterity, a thoroughly examined concept in scholarly literature, it pertains to an organization's capacity to adeptly harmonize the pursuit of innovative opportunities with the optimization of established strengths and capabilities (Joseph &amp; Ocasio, 2012). In times of uncertainty and endemic crises, the relevance of organizational ambidexterity becomes even more pronounced. Specifically, we observed how adaptable organizations are able to explore and exploit simultaneously, while still advancing their ability to integrate insights and signals that are coming from different business networks.  </w:t>
      </w:r>
    </w:p>
    <w:p w14:paraId="000001C4" w14:textId="1D11D6F9" w:rsidR="00985B1F" w:rsidRPr="00F2449F" w:rsidRDefault="00717D17" w:rsidP="00DA2B3F">
      <w:pPr>
        <w:pBdr>
          <w:top w:val="nil"/>
          <w:left w:val="nil"/>
          <w:bottom w:val="nil"/>
          <w:right w:val="nil"/>
          <w:between w:val="nil"/>
        </w:pBdr>
        <w:shd w:val="clear" w:color="auto" w:fill="FFFFFF"/>
        <w:spacing w:line="480" w:lineRule="auto"/>
        <w:ind w:firstLine="567"/>
        <w:jc w:val="both"/>
        <w:rPr>
          <w:color w:val="000000"/>
          <w:lang w:val="en-US"/>
        </w:rPr>
      </w:pPr>
      <w:r w:rsidRPr="00F2449F">
        <w:rPr>
          <w:i/>
          <w:color w:val="000000"/>
          <w:lang w:val="en-US"/>
        </w:rPr>
        <w:t>“Building relationships with other players, even outside our industry, is helpful because we can exploit our internal knowledge of the business and our core competencies while also leveraging the knowledge of others that have already been through something that we are facing now, like the expansion to a specific country.” (Marketing Director, Beauty and Cosmetics)</w:t>
      </w:r>
    </w:p>
    <w:p w14:paraId="000001C5" w14:textId="77777777" w:rsidR="00985B1F" w:rsidRPr="00F2449F" w:rsidRDefault="00717D17" w:rsidP="007B62B8">
      <w:pPr>
        <w:spacing w:line="480" w:lineRule="auto"/>
        <w:jc w:val="both"/>
        <w:rPr>
          <w:lang w:val="en-US"/>
        </w:rPr>
      </w:pPr>
      <w:r w:rsidRPr="00F2449F">
        <w:rPr>
          <w:lang w:val="en-US"/>
        </w:rPr>
        <w:t xml:space="preserve">        An ambidextrous organization, as a system of people and processes that are simultaneously exploiting their resourcing and knowledge while actively seeking to improve and pursue new opportunities, is able to quickly adapt its production to meet the changing needs of its customers in response to a disruption, maybe even just locally, without needing to invest considerable resources, while yet still concentrating on the efficiency and reliability of all its existing operations. </w:t>
      </w:r>
    </w:p>
    <w:p w14:paraId="662DA28E" w14:textId="77777777" w:rsidR="00DA2B3F" w:rsidRPr="00F2449F" w:rsidRDefault="00717D17" w:rsidP="00F01B4D">
      <w:pPr>
        <w:spacing w:line="480" w:lineRule="auto"/>
        <w:ind w:firstLine="720"/>
        <w:jc w:val="both"/>
        <w:rPr>
          <w:color w:val="000000"/>
          <w:lang w:val="en-US"/>
        </w:rPr>
      </w:pPr>
      <w:r w:rsidRPr="00F2449F">
        <w:rPr>
          <w:lang w:val="en-US"/>
        </w:rPr>
        <w:lastRenderedPageBreak/>
        <w:t xml:space="preserve">       With reference to the ability to explore the external environment in uncertain conditions, ambidextrous organizations master the practice of experimentation. From the antifragile adaptation perspective, experimentation is a </w:t>
      </w:r>
      <w:r w:rsidRPr="00F2449F">
        <w:rPr>
          <w:color w:val="000000"/>
          <w:lang w:val="en-US"/>
        </w:rPr>
        <w:t xml:space="preserve">key practice that will support organizations when re-shaping their attitudes and structures to become perfectly suited to walk through crises and disruptions, just as though they were wearing a fireproof jacket. The participants highlighted how experimentation should be gradually approached, given the risk-filled environment in which they operate. However, such experimentation should also be persistent to deliver the ability to adapt to unstable contexts and effectively pursue new opportunities. </w:t>
      </w:r>
    </w:p>
    <w:p w14:paraId="135843AA" w14:textId="77777777" w:rsidR="00F01B4D" w:rsidRPr="00F2449F" w:rsidRDefault="00717D17" w:rsidP="00F01B4D">
      <w:pPr>
        <w:spacing w:line="480" w:lineRule="auto"/>
        <w:ind w:firstLine="720"/>
        <w:jc w:val="both"/>
        <w:rPr>
          <w:color w:val="000000"/>
          <w:lang w:val="en-US"/>
        </w:rPr>
      </w:pPr>
      <w:r w:rsidRPr="00F2449F">
        <w:rPr>
          <w:i/>
          <w:color w:val="000000"/>
          <w:lang w:val="en-US"/>
        </w:rPr>
        <w:t>“It is important to gradually experiment with different actions and their effectiveness, rather than strictly focus on one line of action that may compromise organizational flexibility.” (Export Manager, Industrial Manufacturing)</w:t>
      </w:r>
    </w:p>
    <w:p w14:paraId="6D2B9A79" w14:textId="77777777" w:rsidR="00F01B4D" w:rsidRPr="00F2449F" w:rsidRDefault="00717D17" w:rsidP="00F01B4D">
      <w:pPr>
        <w:spacing w:line="480" w:lineRule="auto"/>
        <w:ind w:firstLine="720"/>
        <w:jc w:val="both"/>
        <w:rPr>
          <w:color w:val="000000"/>
          <w:lang w:val="en-US"/>
        </w:rPr>
      </w:pPr>
      <w:r w:rsidRPr="00F2449F">
        <w:rPr>
          <w:color w:val="000000"/>
          <w:lang w:val="en-US"/>
        </w:rPr>
        <w:t xml:space="preserve">In essence, managers will discern specific advantages in an approach that actively explores various options, as opposed to rigidly adhering to a predetermined course of action. Through this approach, organizations can engage in active scrutiny at a broader network level, meticulously evaluating both emerging opportunities and challenges in a punctual and timely manner. </w:t>
      </w:r>
    </w:p>
    <w:p w14:paraId="39FD8318" w14:textId="77777777" w:rsidR="00F01B4D" w:rsidRPr="00F2449F" w:rsidRDefault="00717D17" w:rsidP="00F01B4D">
      <w:pPr>
        <w:spacing w:line="480" w:lineRule="auto"/>
        <w:ind w:firstLine="720"/>
        <w:jc w:val="both"/>
        <w:rPr>
          <w:color w:val="000000"/>
          <w:lang w:val="en-US"/>
        </w:rPr>
      </w:pPr>
      <w:r w:rsidRPr="00F2449F">
        <w:rPr>
          <w:i/>
          <w:color w:val="000000"/>
          <w:lang w:val="en-US"/>
        </w:rPr>
        <w:t>“We actively listen to the voices of our clients and partners and our success increasingly relies on our ability to explore new technologies and opportunities. We need to analyze in detail all of our opportunities in order not to miss advantageous paths.” (Export Manager, Industrial Manufacturing)</w:t>
      </w:r>
    </w:p>
    <w:p w14:paraId="413F590D" w14:textId="77777777" w:rsidR="00F01B4D" w:rsidRPr="00F2449F" w:rsidRDefault="00717D17" w:rsidP="00F01B4D">
      <w:pPr>
        <w:spacing w:line="480" w:lineRule="auto"/>
        <w:ind w:firstLine="720"/>
        <w:jc w:val="both"/>
        <w:rPr>
          <w:color w:val="000000"/>
          <w:lang w:val="en-US"/>
        </w:rPr>
      </w:pPr>
      <w:r w:rsidRPr="00F2449F">
        <w:rPr>
          <w:color w:val="000000"/>
          <w:lang w:val="en-US"/>
        </w:rPr>
        <w:t>Engaging in experimentation and venturing beyond the confines of the company's customary domain enhances its ability to promptly assess the viability of diverse initiatives and novel concepts. This iterative process is consistently informed by input from the market and the expansive service network, enabling the company to adapt adeptly to changing circumstances. Errors or setbacks are thus regarded as occasions for evaluation and enhancement rather than mere instances of failure.</w:t>
      </w:r>
    </w:p>
    <w:p w14:paraId="6667416B" w14:textId="77777777" w:rsidR="00F01B4D" w:rsidRPr="00F2449F" w:rsidRDefault="00717D17" w:rsidP="00F01B4D">
      <w:pPr>
        <w:spacing w:line="480" w:lineRule="auto"/>
        <w:ind w:firstLine="720"/>
        <w:jc w:val="both"/>
        <w:rPr>
          <w:color w:val="000000"/>
          <w:lang w:val="en-US"/>
        </w:rPr>
      </w:pPr>
      <w:r w:rsidRPr="00F2449F">
        <w:rPr>
          <w:i/>
          <w:color w:val="000000"/>
          <w:lang w:val="en-US"/>
        </w:rPr>
        <w:lastRenderedPageBreak/>
        <w:t>“We pilot new ideas, organize and integrate feedback, and analyze the results to determine how to adjust to a difficult situation on the go. At the end of the day, experiments reduce risk.” (Sales Director, Packaging)</w:t>
      </w:r>
    </w:p>
    <w:p w14:paraId="5E481027" w14:textId="77777777" w:rsidR="00F01B4D" w:rsidRPr="00F2449F" w:rsidRDefault="00717D17" w:rsidP="00F01B4D">
      <w:pPr>
        <w:spacing w:line="480" w:lineRule="auto"/>
        <w:ind w:firstLine="720"/>
        <w:jc w:val="both"/>
        <w:rPr>
          <w:color w:val="000000"/>
          <w:lang w:val="en-US"/>
        </w:rPr>
      </w:pPr>
      <w:r w:rsidRPr="00F2449F">
        <w:rPr>
          <w:lang w:val="en-US"/>
        </w:rPr>
        <w:t xml:space="preserve">It is also important to point out that emphasizing ambidexterity within an organization necessitates a multifaceted approach. Overemphasizing exploration, for instance, may lead organizations to overlook internal vulnerabilities, such as financial instability or strained relationships with various stakeholders. This can also result in a missed opportunity to optimally and lucratively leverage internal resources. </w:t>
      </w:r>
    </w:p>
    <w:p w14:paraId="000001CD" w14:textId="60F62721" w:rsidR="00985B1F" w:rsidRPr="00F2449F" w:rsidRDefault="00717D17" w:rsidP="00F01B4D">
      <w:pPr>
        <w:spacing w:line="480" w:lineRule="auto"/>
        <w:ind w:firstLine="720"/>
        <w:jc w:val="both"/>
        <w:rPr>
          <w:color w:val="000000"/>
          <w:lang w:val="en-US"/>
        </w:rPr>
      </w:pPr>
      <w:r w:rsidRPr="00F2449F">
        <w:rPr>
          <w:i/>
          <w:color w:val="000000"/>
          <w:lang w:val="en-US"/>
        </w:rPr>
        <w:t>“I always make sure my organization does not miss anything, we need to keep an eye on innovation and on the macro-environment around us, but we cannot lose the focus on the inside of the company, on our people, our dynamics, and our problems.” (EMEA Marketing Director, Management Consulting)</w:t>
      </w:r>
    </w:p>
    <w:p w14:paraId="000001CE" w14:textId="77777777" w:rsidR="00985B1F" w:rsidRPr="00F2449F" w:rsidRDefault="00717D17" w:rsidP="007B62B8">
      <w:pPr>
        <w:spacing w:line="480" w:lineRule="auto"/>
        <w:ind w:firstLine="708"/>
        <w:jc w:val="both"/>
        <w:rPr>
          <w:color w:val="000000"/>
          <w:lang w:val="en-US"/>
        </w:rPr>
      </w:pPr>
      <w:r w:rsidRPr="00F2449F">
        <w:rPr>
          <w:lang w:val="en-US"/>
        </w:rPr>
        <w:t xml:space="preserve">Ambidextrous organizations constantly try to balance risk-taking with stability, but also balance strong relationships with more volatile ones. Having a flexible supply chain appears to be a priority for adaptable organizations; however, truly ambidextrous companies are able to pursue that effort without giving up deep and meaningful relationships with their long-term partners. </w:t>
      </w:r>
      <w:r w:rsidRPr="00F2449F">
        <w:rPr>
          <w:color w:val="000000"/>
          <w:lang w:val="en-US"/>
        </w:rPr>
        <w:t>These multiple focuses (internal and external, relationships and flexibility, risks and stability) are connected to the ability of an organization to leverage both its internal knowledge and the knowledge acquired through explorative processes and experimentation at the same time. This capability is at the core of antifragile adaptation and is the key to managing risk, uncertainty, and complexity, and also to anticipating transformation.</w:t>
      </w:r>
    </w:p>
    <w:p w14:paraId="4B448C4B" w14:textId="77777777" w:rsidR="00DA2B3F" w:rsidRPr="00F2449F" w:rsidRDefault="00717D17" w:rsidP="00DA2B3F">
      <w:pPr>
        <w:spacing w:line="480" w:lineRule="auto"/>
        <w:ind w:firstLine="708"/>
        <w:jc w:val="both"/>
        <w:rPr>
          <w:color w:val="000000"/>
          <w:lang w:val="en-US"/>
        </w:rPr>
      </w:pPr>
      <w:r w:rsidRPr="00F2449F">
        <w:rPr>
          <w:color w:val="000000"/>
          <w:lang w:val="en-US"/>
        </w:rPr>
        <w:t xml:space="preserve">The second identified antecedent is the ability of organizations to generate options and alternatives, a capability that is strongly correlated with ambidexterity. </w:t>
      </w:r>
      <w:r w:rsidRPr="00F2449F">
        <w:rPr>
          <w:lang w:val="en-US"/>
        </w:rPr>
        <w:t xml:space="preserve">Diversifying and generating alternative options and strategic paths are capabilities that stand at the core of antifragile adaptation. We refer to this antecedent as ‘option generation’ which defines the ability to </w:t>
      </w:r>
      <w:r w:rsidRPr="00F2449F">
        <w:rPr>
          <w:color w:val="000000"/>
          <w:lang w:val="en-US"/>
        </w:rPr>
        <w:t xml:space="preserve">identify multiple alternatives regarding the management of resources, relationships, and the business and </w:t>
      </w:r>
      <w:r w:rsidRPr="00F2449F">
        <w:rPr>
          <w:color w:val="000000"/>
          <w:lang w:val="en-US"/>
        </w:rPr>
        <w:lastRenderedPageBreak/>
        <w:t xml:space="preserve">communication strategy, and thereby give life to a dynamic portfolio of options. This capacity empowers companies to agilely reallocate their resources and shift their attention towards alternative avenues, especially during periods of crisis or setbacks. The foundation of option generation lies in innovative thinking and a profound comprehension of network dynamics, as well as relationship networks. </w:t>
      </w:r>
    </w:p>
    <w:p w14:paraId="000001D0" w14:textId="7E959365" w:rsidR="00985B1F" w:rsidRPr="00F2449F" w:rsidRDefault="00717D17" w:rsidP="00DA2B3F">
      <w:pPr>
        <w:spacing w:line="480" w:lineRule="auto"/>
        <w:ind w:firstLine="708"/>
        <w:jc w:val="both"/>
        <w:rPr>
          <w:color w:val="000000"/>
          <w:lang w:val="en-US"/>
        </w:rPr>
      </w:pPr>
      <w:r w:rsidRPr="00F2449F">
        <w:rPr>
          <w:i/>
          <w:color w:val="000000"/>
          <w:lang w:val="en-US"/>
        </w:rPr>
        <w:t>“The ability to create alternatives on the spot puts us (organizations) in the position of not needing a plan B or C, since the plan A, the only one existing, is not based on specific scenarios, but it is developed following the requirements of the changing environment, enhancing the ability to implement contextual resource generation.” (CEO, Chemicals)</w:t>
      </w:r>
    </w:p>
    <w:p w14:paraId="000001D1" w14:textId="64B7C85C" w:rsidR="00985B1F" w:rsidRPr="00F2449F" w:rsidRDefault="00717D17" w:rsidP="007B62B8">
      <w:pPr>
        <w:spacing w:line="480" w:lineRule="auto"/>
        <w:ind w:firstLine="708"/>
        <w:jc w:val="both"/>
        <w:rPr>
          <w:color w:val="000000"/>
          <w:lang w:val="en-US"/>
        </w:rPr>
      </w:pPr>
      <w:r w:rsidRPr="00F2449F">
        <w:rPr>
          <w:color w:val="000000"/>
          <w:lang w:val="en-US"/>
        </w:rPr>
        <w:t xml:space="preserve">A holistic knowledge of multiple options supports organizational flexibility when responding to changing circumstances and without the need to comprehensively restructure. </w:t>
      </w:r>
      <w:r w:rsidR="007F3B1A" w:rsidRPr="00F2449F">
        <w:rPr>
          <w:color w:val="000000"/>
          <w:lang w:val="en-US"/>
        </w:rPr>
        <w:t>Executives support</w:t>
      </w:r>
      <w:r w:rsidRPr="00F2449F">
        <w:rPr>
          <w:color w:val="000000"/>
          <w:lang w:val="en-US"/>
        </w:rPr>
        <w:t xml:space="preserve"> the idea that alternatives, especially for expansion strategies, help overcome potential pitfalls. The process of option generation is comprised of a series of activities that include continuous risk assessment, opportunity evaluation, brainstorming, and relational and environmental listening (Knudsen &amp; Levinthal, 2007). Risk assessment aims at identifying the negative implications of different options, an activity that goes hand in hand with the evaluation of the identified opportunities. </w:t>
      </w:r>
    </w:p>
    <w:p w14:paraId="15CE4574" w14:textId="77777777" w:rsidR="00DA2B3F" w:rsidRPr="00F2449F" w:rsidRDefault="00717D17" w:rsidP="00DA2B3F">
      <w:pPr>
        <w:spacing w:line="480" w:lineRule="auto"/>
        <w:jc w:val="both"/>
        <w:rPr>
          <w:color w:val="000000"/>
          <w:lang w:val="en-US"/>
        </w:rPr>
      </w:pPr>
      <w:r w:rsidRPr="00F2449F">
        <w:rPr>
          <w:color w:val="000000"/>
          <w:lang w:val="en-US"/>
        </w:rPr>
        <w:t xml:space="preserve">         On the other hand, organizations continuously produce creative ideas through brainstorming, as well as via direct contact with other players and the broader context so as to be able to generate novel opportunities that will consequently be </w:t>
      </w:r>
      <w:r w:rsidR="007F3B1A" w:rsidRPr="00F2449F">
        <w:rPr>
          <w:color w:val="000000"/>
          <w:lang w:val="en-US"/>
        </w:rPr>
        <w:t>evaluated and</w:t>
      </w:r>
      <w:r w:rsidRPr="00F2449F">
        <w:rPr>
          <w:color w:val="000000"/>
          <w:lang w:val="en-US"/>
        </w:rPr>
        <w:t xml:space="preserve"> pursued. Option generation can be considered an alternative approach to uncertainty with its orientation toward improvement and transformation rather than simply a fear of failure, thereby boosting the antifragile adaptation capabilities of an organization. Such an orientation toward improvement and transformation seems to be accompanied by ongoing option generation rather than the implementation of pre-structured alternative plans. This </w:t>
      </w:r>
      <w:r w:rsidR="007F3B1A" w:rsidRPr="00F2449F">
        <w:rPr>
          <w:color w:val="000000"/>
          <w:lang w:val="en-US"/>
        </w:rPr>
        <w:t>has</w:t>
      </w:r>
      <w:r w:rsidRPr="00F2449F">
        <w:rPr>
          <w:color w:val="000000"/>
          <w:lang w:val="en-US"/>
        </w:rPr>
        <w:t xml:space="preserve"> particular significance in an environment marked by uncertainty, where scenario forecasting proves unreliable, and the likelihood of success for both Plan A and Plan B are often comparable, given their simultaneous development. Embracing a Plan-B-mentality may heighten an organization's </w:t>
      </w:r>
      <w:r w:rsidRPr="00F2449F">
        <w:rPr>
          <w:color w:val="000000"/>
          <w:lang w:val="en-US"/>
        </w:rPr>
        <w:lastRenderedPageBreak/>
        <w:t xml:space="preserve">susceptibility to unforeseeable events. Moreover, option generation exhibits notable advantages when applied across the company's business network. It thereby serves as the foundation for dynamic collaboration among all involved parties, fostering adaptability and ingenuity, all while enabling various partners to acquire fresh capabilities and access diversified resources. </w:t>
      </w:r>
    </w:p>
    <w:p w14:paraId="21E89247" w14:textId="77777777" w:rsidR="00F01B4D" w:rsidRPr="00F2449F" w:rsidRDefault="00717D17" w:rsidP="00F01B4D">
      <w:pPr>
        <w:spacing w:line="480" w:lineRule="auto"/>
        <w:ind w:firstLine="720"/>
        <w:jc w:val="both"/>
        <w:rPr>
          <w:color w:val="000000"/>
          <w:lang w:val="en-US"/>
        </w:rPr>
      </w:pPr>
      <w:r w:rsidRPr="00F2449F">
        <w:rPr>
          <w:i/>
          <w:color w:val="000000"/>
          <w:lang w:val="en-US"/>
        </w:rPr>
        <w:t>“We like to keep our options open, and make sure our decisions are never a source of inertia. We found that working on our relationships has been a great way to keep learning new things, especially because you tend to become more flexible in your mentality and skills if you have to work within a network that always generates new options and solutions for you.” (Export Manager, Food &amp; Beverage)</w:t>
      </w:r>
    </w:p>
    <w:p w14:paraId="06F01729" w14:textId="77777777" w:rsidR="00F01B4D" w:rsidRPr="00F2449F" w:rsidRDefault="00717D17" w:rsidP="00F01B4D">
      <w:pPr>
        <w:spacing w:line="480" w:lineRule="auto"/>
        <w:ind w:firstLine="720"/>
        <w:jc w:val="both"/>
        <w:rPr>
          <w:color w:val="000000"/>
          <w:lang w:val="en-US"/>
        </w:rPr>
      </w:pPr>
      <w:r w:rsidRPr="00F2449F">
        <w:rPr>
          <w:color w:val="000000"/>
          <w:lang w:val="en-US"/>
        </w:rPr>
        <w:t>In elucidating the mechanisms enabling organizations to flourish and extract gains from uncertain environments, we identify a third antecedent of antifragile adaptation, being ‘network leveraging’. Most participants underscored the advantages of harnessing not only the immediate business relationships, but also expanding to encompass a broader network of supportive relationships and extensive data sharing (Cavanillas</w:t>
      </w:r>
      <w:r w:rsidR="00C35DA2" w:rsidRPr="00F2449F">
        <w:rPr>
          <w:color w:val="000000"/>
          <w:lang w:val="en-US"/>
        </w:rPr>
        <w:t>, Curry &amp; Wahlster</w:t>
      </w:r>
      <w:r w:rsidRPr="00F2449F">
        <w:rPr>
          <w:color w:val="000000"/>
          <w:lang w:val="en-US"/>
        </w:rPr>
        <w:t xml:space="preserve">, 2016). This extended network facilitates the alignment of standards, procedures, privacy measures, cybersecurity protocols, and technological advancements. </w:t>
      </w:r>
    </w:p>
    <w:p w14:paraId="381FB2E2" w14:textId="77777777" w:rsidR="00F01B4D" w:rsidRPr="00F2449F" w:rsidRDefault="00717D17" w:rsidP="00F01B4D">
      <w:pPr>
        <w:spacing w:line="480" w:lineRule="auto"/>
        <w:ind w:firstLine="720"/>
        <w:jc w:val="both"/>
        <w:rPr>
          <w:color w:val="000000"/>
          <w:lang w:val="en-US"/>
        </w:rPr>
      </w:pPr>
      <w:r w:rsidRPr="00F2449F">
        <w:rPr>
          <w:i/>
          <w:color w:val="000000"/>
          <w:lang w:val="en-US"/>
        </w:rPr>
        <w:t>“The philosophy of building a resilient network means to collaborate with others, sharing technology and innovation that also helps to keep a competitive advantage.” (CEO, Medical Devices)</w:t>
      </w:r>
    </w:p>
    <w:p w14:paraId="47156E25" w14:textId="77777777" w:rsidR="00F01B4D" w:rsidRPr="00F2449F" w:rsidRDefault="00717D17" w:rsidP="00F01B4D">
      <w:pPr>
        <w:spacing w:line="480" w:lineRule="auto"/>
        <w:ind w:firstLine="720"/>
        <w:jc w:val="both"/>
        <w:rPr>
          <w:color w:val="000000"/>
          <w:lang w:val="en-US"/>
        </w:rPr>
      </w:pPr>
      <w:r w:rsidRPr="00F2449F">
        <w:rPr>
          <w:color w:val="000000"/>
          <w:lang w:val="en-US"/>
        </w:rPr>
        <w:t xml:space="preserve">The ability to leverage the network creates an environment of mutual support and allows organizations to share resources and capabilities with other organizations, public institutions, customers, and communities. </w:t>
      </w:r>
    </w:p>
    <w:p w14:paraId="000001D7" w14:textId="2BB7D93B" w:rsidR="00985B1F" w:rsidRPr="00F2449F" w:rsidRDefault="00717D17" w:rsidP="00F01B4D">
      <w:pPr>
        <w:spacing w:line="480" w:lineRule="auto"/>
        <w:ind w:firstLine="720"/>
        <w:jc w:val="both"/>
        <w:rPr>
          <w:color w:val="000000"/>
          <w:lang w:val="en-US"/>
        </w:rPr>
      </w:pPr>
      <w:r w:rsidRPr="00F2449F">
        <w:rPr>
          <w:i/>
          <w:color w:val="000000"/>
          <w:lang w:val="en-US"/>
        </w:rPr>
        <w:t>“Surely, the opportunity to network and create synergies with other complementary organizations could allow us to better face challenges.” (Export Manager, Food and Beverage)</w:t>
      </w:r>
    </w:p>
    <w:p w14:paraId="000001D8" w14:textId="77777777" w:rsidR="00985B1F" w:rsidRPr="00F2449F" w:rsidRDefault="00717D17" w:rsidP="007B62B8">
      <w:pPr>
        <w:pBdr>
          <w:top w:val="nil"/>
          <w:left w:val="nil"/>
          <w:bottom w:val="nil"/>
          <w:right w:val="nil"/>
          <w:between w:val="nil"/>
        </w:pBdr>
        <w:shd w:val="clear" w:color="auto" w:fill="FFFFFF"/>
        <w:spacing w:line="480" w:lineRule="auto"/>
        <w:ind w:firstLine="720"/>
        <w:jc w:val="both"/>
        <w:rPr>
          <w:color w:val="000000"/>
          <w:lang w:val="en-US"/>
        </w:rPr>
      </w:pPr>
      <w:r w:rsidRPr="00F2449F">
        <w:rPr>
          <w:color w:val="000000"/>
          <w:lang w:val="en-US"/>
        </w:rPr>
        <w:t xml:space="preserve">During the Covid-19 pandemic, for example, many airlines managed the lack of travelers by sharing their aircrafts and staff to contain costs as much as possible. Similarly, the scientific community and public institutions continuously shared information and data on the pandemic to </w:t>
      </w:r>
      <w:r w:rsidRPr="00F2449F">
        <w:rPr>
          <w:color w:val="000000"/>
          <w:lang w:val="en-US"/>
        </w:rPr>
        <w:lastRenderedPageBreak/>
        <w:t>tackle the issue as a united front. In other words, the network approach often is most natural as a response mechanism in times of crisis. Indeed, in times of endemic uncertainty, a proactive and resilient relational network is what makes the difference and increases the ability of organizations to adapt in an antifragile fashion. This entails not only confronting challenges but also collaborating actively in identifying and capitalizing on emerging opportunities. Embracing adversity becomes a catalyst for proactive engagement in the pursuit of new prospects.</w:t>
      </w:r>
    </w:p>
    <w:p w14:paraId="1F78DC1D" w14:textId="77777777" w:rsidR="00DA2B3F" w:rsidRPr="00F2449F" w:rsidRDefault="00717D17" w:rsidP="00DA2B3F">
      <w:pPr>
        <w:pBdr>
          <w:top w:val="nil"/>
          <w:left w:val="nil"/>
          <w:bottom w:val="nil"/>
          <w:right w:val="nil"/>
          <w:between w:val="nil"/>
        </w:pBdr>
        <w:shd w:val="clear" w:color="auto" w:fill="FFFFFF"/>
        <w:spacing w:line="480" w:lineRule="auto"/>
        <w:ind w:firstLine="720"/>
        <w:jc w:val="both"/>
        <w:rPr>
          <w:color w:val="000000"/>
          <w:lang w:val="en-US"/>
        </w:rPr>
      </w:pPr>
      <w:r w:rsidRPr="00F2449F">
        <w:rPr>
          <w:color w:val="000000"/>
          <w:lang w:val="en-US"/>
        </w:rPr>
        <w:t>The network encompasses a broader spectrum than an industry or a market can and also extends to consider the collaboration of the society as a whole, thereby involving both the public and private sectors, NGOs, governments, researchers, and every source of contribution to information management and knowledge sharing. Specifically, one interviewee pointed out how suppliers, partners, employees, investors, competitors, and customers are only a few of the many different actors present in the market scene. Governments, NGOs, International Institutions, audiences, advocates, activists, and many others can be added to the list of players that may influence an organization’s stability or even its very viability.</w:t>
      </w:r>
    </w:p>
    <w:p w14:paraId="081CA8AC" w14:textId="77777777" w:rsidR="00F516D2" w:rsidRPr="00F2449F" w:rsidRDefault="00717D17" w:rsidP="00F516D2">
      <w:pPr>
        <w:pBdr>
          <w:top w:val="nil"/>
          <w:left w:val="nil"/>
          <w:bottom w:val="nil"/>
          <w:right w:val="nil"/>
          <w:between w:val="nil"/>
        </w:pBdr>
        <w:shd w:val="clear" w:color="auto" w:fill="FFFFFF"/>
        <w:spacing w:line="480" w:lineRule="auto"/>
        <w:ind w:firstLine="720"/>
        <w:jc w:val="both"/>
        <w:rPr>
          <w:color w:val="000000"/>
          <w:lang w:val="en-US"/>
        </w:rPr>
      </w:pPr>
      <w:r w:rsidRPr="00F2449F">
        <w:rPr>
          <w:i/>
          <w:color w:val="000000"/>
          <w:lang w:val="en-US"/>
        </w:rPr>
        <w:t>“By maintaining strong relationships with these stakeholders, we may have a chance at anticipating and addressing potential challenges and disruptions before they happen rather than simply falling behind change in a rush to adapt to it.” (Business Developer, Logistics)</w:t>
      </w:r>
    </w:p>
    <w:p w14:paraId="3C1A25E9" w14:textId="77777777" w:rsidR="00F516D2" w:rsidRPr="00F2449F" w:rsidRDefault="00717D17" w:rsidP="00F516D2">
      <w:pPr>
        <w:pBdr>
          <w:top w:val="nil"/>
          <w:left w:val="nil"/>
          <w:bottom w:val="nil"/>
          <w:right w:val="nil"/>
          <w:between w:val="nil"/>
        </w:pBdr>
        <w:shd w:val="clear" w:color="auto" w:fill="FFFFFF"/>
        <w:spacing w:line="480" w:lineRule="auto"/>
        <w:ind w:firstLine="720"/>
        <w:jc w:val="both"/>
        <w:rPr>
          <w:color w:val="000000"/>
          <w:lang w:val="en-US"/>
        </w:rPr>
      </w:pPr>
      <w:r w:rsidRPr="00F2449F">
        <w:rPr>
          <w:color w:val="000000"/>
          <w:lang w:val="en-US"/>
        </w:rPr>
        <w:t>This comprehensive perspective of a business network empowers organizations to discern the most strategically advantageous trajectories, leveraging data and analytics to enhance client service and maintain consistently high</w:t>
      </w:r>
      <w:r w:rsidR="009A2294" w:rsidRPr="00F2449F">
        <w:rPr>
          <w:color w:val="000000"/>
          <w:lang w:val="en-US"/>
        </w:rPr>
        <w:t>-</w:t>
      </w:r>
      <w:r w:rsidRPr="00F2449F">
        <w:rPr>
          <w:color w:val="000000"/>
          <w:lang w:val="en-US"/>
        </w:rPr>
        <w:t>performance standards even amidst uncertain circumstances.</w:t>
      </w:r>
      <w:r w:rsidRPr="00F2449F">
        <w:rPr>
          <w:i/>
          <w:color w:val="000000"/>
          <w:lang w:val="en-US"/>
        </w:rPr>
        <w:t xml:space="preserve"> </w:t>
      </w:r>
    </w:p>
    <w:p w14:paraId="000001DC" w14:textId="0BF47431" w:rsidR="00985B1F" w:rsidRPr="00F2449F" w:rsidRDefault="00717D17" w:rsidP="00F516D2">
      <w:pPr>
        <w:pBdr>
          <w:top w:val="nil"/>
          <w:left w:val="nil"/>
          <w:bottom w:val="nil"/>
          <w:right w:val="nil"/>
          <w:between w:val="nil"/>
        </w:pBdr>
        <w:shd w:val="clear" w:color="auto" w:fill="FFFFFF"/>
        <w:spacing w:line="480" w:lineRule="auto"/>
        <w:ind w:firstLine="720"/>
        <w:jc w:val="both"/>
        <w:rPr>
          <w:color w:val="000000"/>
          <w:lang w:val="en-US"/>
        </w:rPr>
      </w:pPr>
      <w:r w:rsidRPr="00F2449F">
        <w:rPr>
          <w:i/>
          <w:color w:val="000000"/>
          <w:lang w:val="en-US"/>
        </w:rPr>
        <w:t>“Fragmented information does not help anyone, so why should we not share it with others, even competitors? If we all collaborate, I think this will be positive for everyone.” (Export Manager, Wine)</w:t>
      </w:r>
    </w:p>
    <w:p w14:paraId="3167844E" w14:textId="77777777" w:rsidR="00DA2B3F" w:rsidRPr="00F2449F" w:rsidRDefault="00717D17" w:rsidP="00DA2B3F">
      <w:pPr>
        <w:pBdr>
          <w:top w:val="nil"/>
          <w:left w:val="nil"/>
          <w:bottom w:val="nil"/>
          <w:right w:val="nil"/>
          <w:between w:val="nil"/>
        </w:pBdr>
        <w:shd w:val="clear" w:color="auto" w:fill="FFFFFF"/>
        <w:spacing w:line="480" w:lineRule="auto"/>
        <w:ind w:firstLine="720"/>
        <w:jc w:val="both"/>
        <w:rPr>
          <w:color w:val="000000"/>
          <w:lang w:val="en-US"/>
        </w:rPr>
      </w:pPr>
      <w:r w:rsidRPr="00F2449F">
        <w:rPr>
          <w:color w:val="000000"/>
          <w:lang w:val="en-US"/>
        </w:rPr>
        <w:t xml:space="preserve">Although relationships can be costly and can produce a decrease in flexibility and control (Heide &amp; John, 1992), they are, nevertheless, fundamental for any organization to have in order to be able to thrive in a global business network. </w:t>
      </w:r>
    </w:p>
    <w:p w14:paraId="000001DE" w14:textId="0ECEDFAC" w:rsidR="00985B1F" w:rsidRPr="00F2449F" w:rsidRDefault="00717D17" w:rsidP="00DA2B3F">
      <w:pPr>
        <w:pBdr>
          <w:top w:val="nil"/>
          <w:left w:val="nil"/>
          <w:bottom w:val="nil"/>
          <w:right w:val="nil"/>
          <w:between w:val="nil"/>
        </w:pBdr>
        <w:shd w:val="clear" w:color="auto" w:fill="FFFFFF"/>
        <w:spacing w:line="480" w:lineRule="auto"/>
        <w:ind w:firstLine="720"/>
        <w:jc w:val="both"/>
        <w:rPr>
          <w:color w:val="000000"/>
          <w:lang w:val="en-US"/>
        </w:rPr>
      </w:pPr>
      <w:r w:rsidRPr="00F2449F">
        <w:rPr>
          <w:i/>
          <w:color w:val="000000"/>
          <w:lang w:val="en-US"/>
        </w:rPr>
        <w:lastRenderedPageBreak/>
        <w:t>“I would rather receive help, for example, in the selection of a trustworthy partner abroad, rather than handling it myself. Because I am part of a network of organizations, we can share information on the suppliers in different countries, but also on the best ways to deal with bureaucracy and certifications to export, so that I have an idea of the challenges that are waiting for me, but I also have someone who is ready to help me face them.” (Export Manager, Wine)</w:t>
      </w:r>
    </w:p>
    <w:p w14:paraId="70CB9059" w14:textId="77777777" w:rsidR="00DA2B3F" w:rsidRPr="00F2449F" w:rsidRDefault="00717D17" w:rsidP="00DA2B3F">
      <w:pPr>
        <w:pBdr>
          <w:top w:val="nil"/>
          <w:left w:val="nil"/>
          <w:bottom w:val="nil"/>
          <w:right w:val="nil"/>
          <w:between w:val="nil"/>
        </w:pBdr>
        <w:shd w:val="clear" w:color="auto" w:fill="FFFFFF"/>
        <w:spacing w:line="480" w:lineRule="auto"/>
        <w:ind w:firstLine="720"/>
        <w:jc w:val="both"/>
        <w:rPr>
          <w:color w:val="000000"/>
          <w:lang w:val="en-US"/>
        </w:rPr>
      </w:pPr>
      <w:r w:rsidRPr="00F2449F">
        <w:rPr>
          <w:color w:val="000000"/>
          <w:lang w:val="en-US"/>
        </w:rPr>
        <w:t xml:space="preserve">Companies do acknowledge the relevance of finding the right partner and the critical role that such relationships play so as to be able to thrive in risk-filled environments. As risk is a constant part of all business activity, being part of a network allows for sharing that risk and reducing the costs associated with that activity. However, finding the right partner can be a costly activity and may not always result in a positive outcome. </w:t>
      </w:r>
    </w:p>
    <w:p w14:paraId="2987BB5A" w14:textId="77777777" w:rsidR="00DA2B3F" w:rsidRPr="00F2449F" w:rsidRDefault="00717D17" w:rsidP="00DA2B3F">
      <w:pPr>
        <w:pBdr>
          <w:top w:val="nil"/>
          <w:left w:val="nil"/>
          <w:bottom w:val="nil"/>
          <w:right w:val="nil"/>
          <w:between w:val="nil"/>
        </w:pBdr>
        <w:shd w:val="clear" w:color="auto" w:fill="FFFFFF"/>
        <w:spacing w:line="480" w:lineRule="auto"/>
        <w:ind w:firstLine="720"/>
        <w:jc w:val="both"/>
        <w:rPr>
          <w:color w:val="000000"/>
          <w:lang w:val="en-US"/>
        </w:rPr>
      </w:pPr>
      <w:r w:rsidRPr="00F2449F">
        <w:rPr>
          <w:i/>
          <w:color w:val="000000"/>
          <w:lang w:val="en-US"/>
        </w:rPr>
        <w:t>“We sent the sampling, paid with our resources, and they suddenly disappeared. I believe that this would have never happened if we found out earlier about the chance to take part to a bigger network that shares information and where companies support each other in finding the right partners.” (Marketing Director, Beauty &amp; Cosmetics)</w:t>
      </w:r>
    </w:p>
    <w:p w14:paraId="5F651E46" w14:textId="77777777" w:rsidR="00DA2B3F" w:rsidRPr="00F2449F" w:rsidRDefault="00717D17" w:rsidP="00DA2B3F">
      <w:pPr>
        <w:pBdr>
          <w:top w:val="nil"/>
          <w:left w:val="nil"/>
          <w:bottom w:val="nil"/>
          <w:right w:val="nil"/>
          <w:between w:val="nil"/>
        </w:pBdr>
        <w:shd w:val="clear" w:color="auto" w:fill="FFFFFF"/>
        <w:spacing w:line="480" w:lineRule="auto"/>
        <w:ind w:firstLine="720"/>
        <w:jc w:val="both"/>
        <w:rPr>
          <w:color w:val="000000"/>
          <w:lang w:val="en-US"/>
        </w:rPr>
      </w:pPr>
      <w:r w:rsidRPr="00F2449F">
        <w:rPr>
          <w:color w:val="000000"/>
          <w:lang w:val="en-US"/>
        </w:rPr>
        <w:t xml:space="preserve">Organizations are responding using relational strategies to an increased need for support and the reliability of their clients and partners who also want to be reassured more and more. Organizations are also increasingly aware of the importance of building relationships with other players, even outside their market or industry, as today all industry boundaries are increasingly blurring. </w:t>
      </w:r>
    </w:p>
    <w:p w14:paraId="000001E2" w14:textId="2FA4C6A3" w:rsidR="00985B1F" w:rsidRPr="00F2449F" w:rsidRDefault="00717D17" w:rsidP="00DA2B3F">
      <w:pPr>
        <w:pBdr>
          <w:top w:val="nil"/>
          <w:left w:val="nil"/>
          <w:bottom w:val="nil"/>
          <w:right w:val="nil"/>
          <w:between w:val="nil"/>
        </w:pBdr>
        <w:shd w:val="clear" w:color="auto" w:fill="FFFFFF"/>
        <w:spacing w:line="480" w:lineRule="auto"/>
        <w:ind w:firstLine="720"/>
        <w:jc w:val="both"/>
        <w:rPr>
          <w:color w:val="000000"/>
          <w:lang w:val="en-US"/>
        </w:rPr>
      </w:pPr>
      <w:r w:rsidRPr="00F2449F">
        <w:rPr>
          <w:i/>
          <w:color w:val="000000"/>
          <w:lang w:val="en-US"/>
        </w:rPr>
        <w:t>“We believe that companies that are now active in other businesses and sectors will likely become our direct competitors in the future, but this does not mean that we have to keep distance from them: this will not work in our business environment, because our first concern is not the competition, it is dealing with all these constant disruptions.” (CEO, Manufacturing)</w:t>
      </w:r>
    </w:p>
    <w:p w14:paraId="3C84F73C" w14:textId="77777777" w:rsidR="00DA2B3F" w:rsidRPr="00F2449F" w:rsidRDefault="00717D17" w:rsidP="00DA2B3F">
      <w:pPr>
        <w:pBdr>
          <w:top w:val="nil"/>
          <w:left w:val="nil"/>
          <w:bottom w:val="nil"/>
          <w:right w:val="nil"/>
          <w:between w:val="nil"/>
        </w:pBdr>
        <w:shd w:val="clear" w:color="auto" w:fill="FFFFFF"/>
        <w:spacing w:line="480" w:lineRule="auto"/>
        <w:ind w:firstLine="720"/>
        <w:jc w:val="both"/>
        <w:rPr>
          <w:color w:val="000000"/>
          <w:lang w:val="en-US"/>
        </w:rPr>
      </w:pPr>
      <w:r w:rsidRPr="00F2449F">
        <w:rPr>
          <w:color w:val="000000"/>
          <w:lang w:val="en-US"/>
        </w:rPr>
        <w:t xml:space="preserve">       At the same time, companies prefer to have fewer</w:t>
      </w:r>
      <w:r w:rsidR="009A2294" w:rsidRPr="00F2449F">
        <w:rPr>
          <w:color w:val="000000"/>
          <w:lang w:val="en-US"/>
        </w:rPr>
        <w:t xml:space="preserve"> and</w:t>
      </w:r>
      <w:r w:rsidRPr="00F2449F">
        <w:rPr>
          <w:color w:val="000000"/>
          <w:lang w:val="en-US"/>
        </w:rPr>
        <w:t xml:space="preserve"> more solid relationships, so they can better focus their energies and invest in their quality. This trend is connected with the role played </w:t>
      </w:r>
      <w:r w:rsidRPr="00F2449F">
        <w:rPr>
          <w:color w:val="000000"/>
          <w:lang w:val="en-US"/>
        </w:rPr>
        <w:lastRenderedPageBreak/>
        <w:t>by the trusted partner, which increases the disposition to share valuable information and also co-develop collaborative systems of interaction to enable such an exchange.</w:t>
      </w:r>
    </w:p>
    <w:p w14:paraId="251004E7" w14:textId="5C4ACC1A" w:rsidR="009A2294" w:rsidRPr="00F2449F" w:rsidRDefault="00717D17" w:rsidP="00DA2B3F">
      <w:pPr>
        <w:pBdr>
          <w:top w:val="nil"/>
          <w:left w:val="nil"/>
          <w:bottom w:val="nil"/>
          <w:right w:val="nil"/>
          <w:between w:val="nil"/>
        </w:pBdr>
        <w:shd w:val="clear" w:color="auto" w:fill="FFFFFF"/>
        <w:spacing w:line="480" w:lineRule="auto"/>
        <w:ind w:firstLine="720"/>
        <w:jc w:val="both"/>
        <w:rPr>
          <w:color w:val="000000"/>
          <w:lang w:val="en-US"/>
        </w:rPr>
      </w:pPr>
      <w:r w:rsidRPr="00F2449F">
        <w:rPr>
          <w:i/>
          <w:color w:val="000000"/>
          <w:lang w:val="en-US"/>
        </w:rPr>
        <w:t>“We found more understanding from clients with whom we have a solid and long-term relationship. We trust them and they trust us, so we do not need to spend resources in continuously worrying that small issues could change their minds, and we can support each other by sharing information instead.” (Sales Manager, Life Sciences and Healthcare)</w:t>
      </w:r>
    </w:p>
    <w:p w14:paraId="2518E769" w14:textId="77777777" w:rsidR="00DA2B3F" w:rsidRPr="00F2449F" w:rsidRDefault="00DA2B3F" w:rsidP="007B62B8">
      <w:pPr>
        <w:pBdr>
          <w:top w:val="nil"/>
          <w:left w:val="nil"/>
          <w:bottom w:val="nil"/>
          <w:right w:val="nil"/>
          <w:between w:val="nil"/>
        </w:pBdr>
        <w:shd w:val="clear" w:color="auto" w:fill="FFFFFF"/>
        <w:spacing w:line="480" w:lineRule="auto"/>
        <w:jc w:val="both"/>
        <w:rPr>
          <w:i/>
          <w:color w:val="000000"/>
          <w:lang w:val="en-US"/>
        </w:rPr>
      </w:pPr>
    </w:p>
    <w:p w14:paraId="000001E5" w14:textId="540D80F4" w:rsidR="00985B1F" w:rsidRPr="00F2449F" w:rsidRDefault="00717D17" w:rsidP="007B62B8">
      <w:pPr>
        <w:pBdr>
          <w:top w:val="nil"/>
          <w:left w:val="nil"/>
          <w:bottom w:val="nil"/>
          <w:right w:val="nil"/>
          <w:between w:val="nil"/>
        </w:pBdr>
        <w:shd w:val="clear" w:color="auto" w:fill="FFFFFF"/>
        <w:spacing w:line="480" w:lineRule="auto"/>
        <w:jc w:val="both"/>
        <w:rPr>
          <w:b/>
          <w:color w:val="000000"/>
          <w:lang w:val="en-US"/>
        </w:rPr>
      </w:pPr>
      <w:r w:rsidRPr="00F2449F">
        <w:rPr>
          <w:b/>
          <w:color w:val="000000"/>
          <w:lang w:val="en-US"/>
        </w:rPr>
        <w:t>4.2. The Enablers of Antifragile Adaptation</w:t>
      </w:r>
    </w:p>
    <w:p w14:paraId="6E0C94FE" w14:textId="73BCCD48" w:rsidR="009A2294" w:rsidRPr="00F2449F" w:rsidRDefault="00717D17" w:rsidP="007B62B8">
      <w:pPr>
        <w:pBdr>
          <w:top w:val="nil"/>
          <w:left w:val="nil"/>
          <w:bottom w:val="nil"/>
          <w:right w:val="nil"/>
          <w:between w:val="nil"/>
        </w:pBdr>
        <w:shd w:val="clear" w:color="auto" w:fill="FFFFFF"/>
        <w:spacing w:line="480" w:lineRule="auto"/>
        <w:ind w:firstLine="720"/>
        <w:jc w:val="both"/>
        <w:rPr>
          <w:b/>
          <w:color w:val="000000"/>
          <w:lang w:val="en-US"/>
        </w:rPr>
      </w:pPr>
      <w:r w:rsidRPr="00F2449F">
        <w:rPr>
          <w:color w:val="222222"/>
          <w:lang w:val="en-US"/>
        </w:rPr>
        <w:t>This study identified two enablers of antifragile adaptation that act as pacesetters in the development of this particular organizational capability and affect the ability of a company to thrive even in uncertainty. More specifically, antifragile adaptation is empowered by a set of capabilities that are developed within an organization and a series of technological tools such as Artificial Intelligence and advanced analytics that promote organizational agility.</w:t>
      </w:r>
    </w:p>
    <w:p w14:paraId="0AFF80EF" w14:textId="77777777" w:rsidR="00DA2B3F" w:rsidRPr="00F2449F" w:rsidRDefault="00DA2B3F" w:rsidP="007B62B8">
      <w:pPr>
        <w:spacing w:line="480" w:lineRule="auto"/>
        <w:jc w:val="both"/>
        <w:rPr>
          <w:i/>
          <w:color w:val="000000"/>
          <w:lang w:val="en-US"/>
        </w:rPr>
      </w:pPr>
    </w:p>
    <w:p w14:paraId="000001E7" w14:textId="477267A8" w:rsidR="00985B1F" w:rsidRPr="00F2449F" w:rsidRDefault="00717D17" w:rsidP="007B62B8">
      <w:pPr>
        <w:spacing w:line="480" w:lineRule="auto"/>
        <w:jc w:val="both"/>
        <w:rPr>
          <w:i/>
          <w:color w:val="000000"/>
          <w:lang w:val="en-US"/>
        </w:rPr>
      </w:pPr>
      <w:r w:rsidRPr="00F2449F">
        <w:rPr>
          <w:i/>
          <w:color w:val="000000"/>
          <w:lang w:val="en-US"/>
        </w:rPr>
        <w:t>4.2.1. Organizational Capabilities</w:t>
      </w:r>
    </w:p>
    <w:p w14:paraId="000001E8" w14:textId="77777777" w:rsidR="00985B1F" w:rsidRPr="00F2449F" w:rsidRDefault="00717D17" w:rsidP="007B62B8">
      <w:pPr>
        <w:spacing w:line="480" w:lineRule="auto"/>
        <w:ind w:firstLine="567"/>
        <w:jc w:val="both"/>
        <w:rPr>
          <w:color w:val="000000"/>
          <w:lang w:val="en-US"/>
        </w:rPr>
      </w:pPr>
      <w:r w:rsidRPr="00F2449F">
        <w:rPr>
          <w:color w:val="000000"/>
          <w:lang w:val="en-US"/>
        </w:rPr>
        <w:t>The empirical findings underscored the pivotal role of three distinct organizational capabilities in cultivating an antifragile disposition towards adaptation. These encompass (1) the cultivation of a complexity mindset, (2) the practice of perspective communication, and (3) the empowerment of employees. The significance of these capabilities was repeatedly emphasized by participants, who viewed them as instrumental in not only navigating uncertainty but also deriving advantage from it. This recognition underpins the argument for their paramount importance in enabling antifragile adaptation.</w:t>
      </w:r>
    </w:p>
    <w:p w14:paraId="03D8A5B7" w14:textId="77777777" w:rsidR="00DA2B3F" w:rsidRPr="00F2449F" w:rsidRDefault="00717D17" w:rsidP="00DA2B3F">
      <w:pPr>
        <w:spacing w:line="480" w:lineRule="auto"/>
        <w:ind w:firstLine="720"/>
        <w:jc w:val="both"/>
        <w:rPr>
          <w:lang w:val="en-US"/>
        </w:rPr>
      </w:pPr>
      <w:r w:rsidRPr="00F2449F">
        <w:rPr>
          <w:b/>
          <w:i/>
          <w:color w:val="000000"/>
          <w:lang w:val="en-US"/>
        </w:rPr>
        <w:t xml:space="preserve">Complexity mindset. </w:t>
      </w:r>
      <w:r w:rsidRPr="00F2449F">
        <w:rPr>
          <w:lang w:val="en-US"/>
        </w:rPr>
        <w:t xml:space="preserve">A complexity mindset acknowledges that the business environment is constantly changing, and there is no one-size-fits-all solution to complex problems. Instead, the results of this research show that organizations with a complexity mindset are better equipped to respond to uncertainty and crises by already being agile, adaptive, and resilient. </w:t>
      </w:r>
      <w:r w:rsidRPr="00F2449F">
        <w:rPr>
          <w:color w:val="000000"/>
          <w:lang w:val="en-US"/>
        </w:rPr>
        <w:t xml:space="preserve">The development of </w:t>
      </w:r>
      <w:r w:rsidRPr="00F2449F">
        <w:rPr>
          <w:color w:val="000000"/>
          <w:lang w:val="en-US"/>
        </w:rPr>
        <w:lastRenderedPageBreak/>
        <w:t>a complexity mindset within the organization</w:t>
      </w:r>
      <w:r w:rsidRPr="00F2449F">
        <w:rPr>
          <w:lang w:val="en-US"/>
        </w:rPr>
        <w:t xml:space="preserve"> can support the direct facing of uncertainty and crises by embracing ambiguity and viewing challenges as only opportunities for more growth and learning. A complexity mindset is associated with having an openness to internationalization, adaptable business models, and a strong knowledge of the global environment, according to the interviewees in this study. A culture of adaptability that is comfortable in managing complexity is also associated with those organizations that foster continuous learning, innovation and creativity, and also promote flexibility and inclusiveness. </w:t>
      </w:r>
    </w:p>
    <w:p w14:paraId="000001EA" w14:textId="7520BBFC" w:rsidR="00985B1F" w:rsidRPr="00F2449F" w:rsidRDefault="00717D17" w:rsidP="00DA2B3F">
      <w:pPr>
        <w:spacing w:line="480" w:lineRule="auto"/>
        <w:ind w:firstLine="720"/>
        <w:jc w:val="both"/>
        <w:rPr>
          <w:lang w:val="en-US"/>
        </w:rPr>
      </w:pPr>
      <w:r w:rsidRPr="00F2449F">
        <w:rPr>
          <w:i/>
          <w:color w:val="000000"/>
          <w:lang w:val="en-US"/>
        </w:rPr>
        <w:t>“We are trying to be aware of complexity, but we do not want to be scared of it. We want to grow internationally, and to do that we understood that we need to be flexible to manage unforeseen events, we need to have a business model that allows us to adjust production levels, but also to use a system of resources that are versatile and that we can exploit in different ways when the contexts requires it.” (CEO, Manufacturing)</w:t>
      </w:r>
    </w:p>
    <w:p w14:paraId="39B69FF6" w14:textId="77777777" w:rsidR="00DA2B3F" w:rsidRPr="00F2449F" w:rsidRDefault="00717D17" w:rsidP="00DA2B3F">
      <w:pPr>
        <w:pBdr>
          <w:top w:val="nil"/>
          <w:left w:val="nil"/>
          <w:bottom w:val="nil"/>
          <w:right w:val="nil"/>
          <w:between w:val="nil"/>
        </w:pBdr>
        <w:shd w:val="clear" w:color="auto" w:fill="FFFFFF"/>
        <w:spacing w:line="480" w:lineRule="auto"/>
        <w:ind w:firstLine="720"/>
        <w:jc w:val="both"/>
        <w:rPr>
          <w:color w:val="000000"/>
          <w:lang w:val="en-US"/>
        </w:rPr>
      </w:pPr>
      <w:r w:rsidRPr="00F2449F">
        <w:rPr>
          <w:color w:val="000000"/>
          <w:lang w:val="en-US"/>
        </w:rPr>
        <w:t xml:space="preserve">This aspect has become particularly evident during the Covid-19 pandemic when many organizations with adaptable business models have temporarily implemented industrial conversion to exploit the increased demand of goods like masks or ventilators or simply used innovative technologies to find new ways to work around supply shortages or transportation issues. </w:t>
      </w:r>
    </w:p>
    <w:p w14:paraId="26E176A5" w14:textId="77777777" w:rsidR="00F516D2" w:rsidRPr="00F2449F" w:rsidRDefault="00717D17" w:rsidP="00F516D2">
      <w:pPr>
        <w:pBdr>
          <w:top w:val="nil"/>
          <w:left w:val="nil"/>
          <w:bottom w:val="nil"/>
          <w:right w:val="nil"/>
          <w:between w:val="nil"/>
        </w:pBdr>
        <w:shd w:val="clear" w:color="auto" w:fill="FFFFFF"/>
        <w:spacing w:line="480" w:lineRule="auto"/>
        <w:ind w:firstLine="720"/>
        <w:jc w:val="both"/>
        <w:rPr>
          <w:color w:val="000000"/>
          <w:lang w:val="en-US"/>
        </w:rPr>
      </w:pPr>
      <w:r w:rsidRPr="00F2449F">
        <w:rPr>
          <w:i/>
          <w:color w:val="000000"/>
          <w:lang w:val="en-US"/>
        </w:rPr>
        <w:t>“The world has become so complex, that we cannot manage complexity with planning anymore. We simply need to do our best to be ready when something happens.” (Export Manager, Food &amp; Beverage)</w:t>
      </w:r>
    </w:p>
    <w:p w14:paraId="5B8C82DF" w14:textId="77777777" w:rsidR="00F516D2" w:rsidRPr="00F2449F" w:rsidRDefault="00DE1348" w:rsidP="00F516D2">
      <w:pPr>
        <w:pBdr>
          <w:top w:val="nil"/>
          <w:left w:val="nil"/>
          <w:bottom w:val="nil"/>
          <w:right w:val="nil"/>
          <w:between w:val="nil"/>
        </w:pBdr>
        <w:shd w:val="clear" w:color="auto" w:fill="FFFFFF"/>
        <w:spacing w:line="480" w:lineRule="auto"/>
        <w:ind w:firstLine="720"/>
        <w:jc w:val="both"/>
        <w:rPr>
          <w:color w:val="000000"/>
          <w:lang w:val="en-US"/>
        </w:rPr>
      </w:pPr>
      <w:r w:rsidRPr="00F2449F">
        <w:rPr>
          <w:lang w:val="en-US"/>
        </w:rPr>
        <w:t>To</w:t>
      </w:r>
      <w:r w:rsidR="00717D17" w:rsidRPr="00F2449F">
        <w:rPr>
          <w:lang w:val="en-US"/>
        </w:rPr>
        <w:t xml:space="preserve"> foster a complexity mindset</w:t>
      </w:r>
      <w:r w:rsidRPr="00F2449F">
        <w:rPr>
          <w:lang w:val="en-US"/>
        </w:rPr>
        <w:t xml:space="preserve"> means </w:t>
      </w:r>
      <w:r w:rsidR="00717D17" w:rsidRPr="00F2449F">
        <w:rPr>
          <w:lang w:val="en-US"/>
        </w:rPr>
        <w:t>to acknowledge the impossibility of relying only on planning, and still be ready to face difficult circumstances. Many organizations seem to look at complexity as an opportunity for improvement, and they are thus investing in becoming increasingly agile and adaptable. They have developed a high level of awareness for the changes happening in demands and needs and thus never miss any opportunity to improve.</w:t>
      </w:r>
    </w:p>
    <w:p w14:paraId="5CF3BAEB" w14:textId="77777777" w:rsidR="00F516D2" w:rsidRPr="00F2449F" w:rsidRDefault="00717D17" w:rsidP="00F516D2">
      <w:pPr>
        <w:pBdr>
          <w:top w:val="nil"/>
          <w:left w:val="nil"/>
          <w:bottom w:val="nil"/>
          <w:right w:val="nil"/>
          <w:between w:val="nil"/>
        </w:pBdr>
        <w:shd w:val="clear" w:color="auto" w:fill="FFFFFF"/>
        <w:spacing w:line="480" w:lineRule="auto"/>
        <w:ind w:firstLine="720"/>
        <w:jc w:val="both"/>
        <w:rPr>
          <w:color w:val="000000"/>
          <w:lang w:val="en-US"/>
        </w:rPr>
      </w:pPr>
      <w:r w:rsidRPr="00F2449F">
        <w:rPr>
          <w:i/>
          <w:color w:val="000000"/>
          <w:lang w:val="en-US"/>
        </w:rPr>
        <w:lastRenderedPageBreak/>
        <w:t>“If you do not follow change, you will just get stuck in doing the same things and, at some point, you will find yourself behind everyone else. I believe that the ability to adapt will become more important than long-term planning.” (Customer Innovation Manager, Logistics)</w:t>
      </w:r>
    </w:p>
    <w:p w14:paraId="2A7C437D" w14:textId="77777777" w:rsidR="00F516D2" w:rsidRPr="00F2449F" w:rsidRDefault="00717D17" w:rsidP="00F516D2">
      <w:pPr>
        <w:pBdr>
          <w:top w:val="nil"/>
          <w:left w:val="nil"/>
          <w:bottom w:val="nil"/>
          <w:right w:val="nil"/>
          <w:between w:val="nil"/>
        </w:pBdr>
        <w:shd w:val="clear" w:color="auto" w:fill="FFFFFF"/>
        <w:spacing w:line="480" w:lineRule="auto"/>
        <w:ind w:firstLine="720"/>
        <w:jc w:val="both"/>
        <w:rPr>
          <w:color w:val="000000"/>
          <w:lang w:val="en-US"/>
        </w:rPr>
      </w:pPr>
      <w:r w:rsidRPr="00F2449F">
        <w:rPr>
          <w:b/>
          <w:i/>
          <w:color w:val="000000"/>
          <w:lang w:val="en-US"/>
        </w:rPr>
        <w:t xml:space="preserve">Perspective communication. </w:t>
      </w:r>
      <w:r w:rsidRPr="00F2449F">
        <w:rPr>
          <w:lang w:val="en-US"/>
        </w:rPr>
        <w:t xml:space="preserve">By leveraging a complexity and adaptability mindset, organizations can become increasingly antifragile to disruptions and better equipped to navigate uncertainty and crises. However, a complexity mindset should also work in close connection with another success factor for strategic adaptation – perspective communication, as the ability of an organization and the people that are part of it to continuously listen to and communicate with its surrounding environment. Perspective communication is a critical aspect of effective organizational communication that enables antifragile adaptation by allowing a deep understanding of the perspectives, needs, and pain points of all stakeholders, including employees, customers, partners, and other key stakeholders. The study participants commonly discussed how organizations are successfully developing antifragile adaptation by embracing uncertainty rather than escaping from to rely on effective communication strategies that take into account the needs and concerns of all the parties involved. </w:t>
      </w:r>
    </w:p>
    <w:p w14:paraId="50C3763F" w14:textId="77777777" w:rsidR="00F516D2" w:rsidRPr="00F2449F" w:rsidRDefault="00717D17" w:rsidP="00F516D2">
      <w:pPr>
        <w:pBdr>
          <w:top w:val="nil"/>
          <w:left w:val="nil"/>
          <w:bottom w:val="nil"/>
          <w:right w:val="nil"/>
          <w:between w:val="nil"/>
        </w:pBdr>
        <w:shd w:val="clear" w:color="auto" w:fill="FFFFFF"/>
        <w:spacing w:line="480" w:lineRule="auto"/>
        <w:ind w:firstLine="720"/>
        <w:jc w:val="both"/>
        <w:rPr>
          <w:color w:val="000000"/>
          <w:lang w:val="en-US"/>
        </w:rPr>
      </w:pPr>
      <w:r w:rsidRPr="00F2449F">
        <w:rPr>
          <w:i/>
          <w:color w:val="000000"/>
          <w:lang w:val="en-US"/>
        </w:rPr>
        <w:t>“If we carefully listen and continuously communicate with our stakeholders, especially our clients, we can immediately understand if something is wrong, if their expectations are changing, if they are thinking about developing a new product or service that we can help them with.” (Sales Manager, Mechanicals)</w:t>
      </w:r>
    </w:p>
    <w:p w14:paraId="6E5C0B01" w14:textId="77777777" w:rsidR="00F516D2" w:rsidRPr="00F2449F" w:rsidRDefault="00717D17" w:rsidP="00F516D2">
      <w:pPr>
        <w:pBdr>
          <w:top w:val="nil"/>
          <w:left w:val="nil"/>
          <w:bottom w:val="nil"/>
          <w:right w:val="nil"/>
          <w:between w:val="nil"/>
        </w:pBdr>
        <w:shd w:val="clear" w:color="auto" w:fill="FFFFFF"/>
        <w:spacing w:line="480" w:lineRule="auto"/>
        <w:ind w:firstLine="720"/>
        <w:jc w:val="both"/>
        <w:rPr>
          <w:color w:val="000000"/>
          <w:lang w:val="en-US"/>
        </w:rPr>
      </w:pPr>
      <w:r w:rsidRPr="00F2449F">
        <w:rPr>
          <w:lang w:val="en-US"/>
        </w:rPr>
        <w:t xml:space="preserve">Effective perspective communication emerges as a pivotal factor in fostering adaptability and responsiveness to change. It entails the capacity of organizations to not only harness their understanding of the world and the business environment but also disseminate this knowledge to their stakeholders. Simultaneously, organizations play a central role in perceiving shifts originating from these very stakeholders. In essence, by comprehending the viewpoints of network participants, organizations can promptly discern nascent trends and challenges, enabling them to proactively communicate their strategic stance and set the precedent. </w:t>
      </w:r>
    </w:p>
    <w:p w14:paraId="7DBD6550" w14:textId="77777777" w:rsidR="00F516D2" w:rsidRPr="00F2449F" w:rsidRDefault="00717D17" w:rsidP="00F516D2">
      <w:pPr>
        <w:pBdr>
          <w:top w:val="nil"/>
          <w:left w:val="nil"/>
          <w:bottom w:val="nil"/>
          <w:right w:val="nil"/>
          <w:between w:val="nil"/>
        </w:pBdr>
        <w:shd w:val="clear" w:color="auto" w:fill="FFFFFF"/>
        <w:spacing w:line="480" w:lineRule="auto"/>
        <w:ind w:firstLine="720"/>
        <w:jc w:val="both"/>
        <w:rPr>
          <w:color w:val="000000"/>
          <w:lang w:val="en-US"/>
        </w:rPr>
      </w:pPr>
      <w:r w:rsidRPr="00F2449F">
        <w:rPr>
          <w:i/>
          <w:color w:val="000000"/>
          <w:lang w:val="en-US"/>
        </w:rPr>
        <w:lastRenderedPageBreak/>
        <w:t>“For example, when it comes to sustainability, we always try to sense the new needs of our clients, even by analyzing the opinions of the end users. This way, we get there first and, when they will realize that they need to take new steps, we will already be there, ready to guide them.” (Sales Director, Sustainability Consulting)</w:t>
      </w:r>
    </w:p>
    <w:p w14:paraId="62207198" w14:textId="2F983887" w:rsidR="00DE1348" w:rsidRPr="00F2449F" w:rsidRDefault="00717D17" w:rsidP="00F516D2">
      <w:pPr>
        <w:pBdr>
          <w:top w:val="nil"/>
          <w:left w:val="nil"/>
          <w:bottom w:val="nil"/>
          <w:right w:val="nil"/>
          <w:between w:val="nil"/>
        </w:pBdr>
        <w:shd w:val="clear" w:color="auto" w:fill="FFFFFF"/>
        <w:spacing w:line="480" w:lineRule="auto"/>
        <w:ind w:firstLine="720"/>
        <w:jc w:val="both"/>
        <w:rPr>
          <w:color w:val="000000"/>
          <w:lang w:val="en-US"/>
        </w:rPr>
      </w:pPr>
      <w:r w:rsidRPr="00F2449F">
        <w:rPr>
          <w:lang w:val="en-US"/>
        </w:rPr>
        <w:t>An advantageous outcome of perspective communication lies in its capacity to foster heightened transparency and trustworthiness within organizational relationships across diverse stakeholders. When organizations are acknowledged for their acumen in discerning evolving needs and for their proficiency in deeply comprehending stakeholder concerns, the resultant effect is the establishment of trust and the accrual of credibility. Consequently, stakeholders are more inclined to provide support in the event of setbacks. Moreover, perspective communication is intricately linked to the prevailing organizational culture, being entrenched in a disposition towards openness and candor. This cultural orientation is exemplified by both employees and management possessing robust communication proficiencies and upholding a shared belief in organizational values. The adept cultivation of perspective communication necessitates organizations to institute a variety of conduits for dialogic exchange, enabling employees, partners, clients, and other relevant stakeholders to engage in constructive feedback mechanisms.</w:t>
      </w:r>
    </w:p>
    <w:p w14:paraId="000001F4" w14:textId="7DDEA9AE" w:rsidR="00985B1F" w:rsidRPr="00F2449F" w:rsidRDefault="00717D17" w:rsidP="007B62B8">
      <w:pPr>
        <w:spacing w:line="480" w:lineRule="auto"/>
        <w:ind w:firstLine="720"/>
        <w:jc w:val="both"/>
        <w:rPr>
          <w:lang w:val="en-US"/>
        </w:rPr>
      </w:pPr>
      <w:r w:rsidRPr="00F2449F">
        <w:rPr>
          <w:b/>
          <w:i/>
          <w:color w:val="000000"/>
          <w:lang w:val="en-US"/>
        </w:rPr>
        <w:t>Empowered employees</w:t>
      </w:r>
      <w:r w:rsidRPr="00F2449F">
        <w:rPr>
          <w:color w:val="000000"/>
          <w:lang w:val="en-US"/>
        </w:rPr>
        <w:t>. Participants generally agreed that antifragile adaptation is fostered by a culture that is rooted in employee empowerment. By giving employees more autonomy and decision-making power, organizations can tap into their collective knowledge and creativity and better respond to unpredictable changes and disruptions in their environment. On the other hand, an organizational culture that encourages employees to test their ideas and does not punish or discredit them for mistakes and failure is using a key strategy to unlock the organization’s best ability to adapt and transform by starting with its people.</w:t>
      </w:r>
    </w:p>
    <w:p w14:paraId="3A9F237A" w14:textId="77777777" w:rsidR="00DA2B3F" w:rsidRPr="00F2449F" w:rsidRDefault="00717D17" w:rsidP="00DA2B3F">
      <w:pPr>
        <w:spacing w:line="480" w:lineRule="auto"/>
        <w:ind w:firstLine="720"/>
        <w:jc w:val="both"/>
        <w:rPr>
          <w:lang w:val="en-US"/>
        </w:rPr>
      </w:pPr>
      <w:r w:rsidRPr="00F2449F">
        <w:rPr>
          <w:lang w:val="en-US"/>
        </w:rPr>
        <w:t xml:space="preserve">When employees are allowed to take risks and unleash their creativity fully, they feel empowered to come up with better and innovative solutions to new challenges, and this empowerment can help organizations both anticipate and adapt to changing circumstances. The empowerment of </w:t>
      </w:r>
      <w:r w:rsidRPr="00F2449F">
        <w:rPr>
          <w:lang w:val="en-US"/>
        </w:rPr>
        <w:lastRenderedPageBreak/>
        <w:t>employees and the re-evaluation of failure in a positive light is, therefore, responsible for increased personal resilience, and employees who are better equipped to face setbacks and handle unexpected events the most effectively. Employee empowerment is seen as leading to an increase in the quality of communication, as well as to stronger relationships across departments, consequently resulting in a more positive and smoother attitude toward change. Learning and development opportunities as fundamental components of employees’ empowerment can provide further contributions to the implementation of antifragile adaptation, since employees are continuously stimulated to enhance their flexibility and transversal skills and contribute.</w:t>
      </w:r>
    </w:p>
    <w:p w14:paraId="511E2768" w14:textId="77777777" w:rsidR="00F516D2" w:rsidRPr="00F2449F" w:rsidRDefault="00717D17" w:rsidP="00F516D2">
      <w:pPr>
        <w:spacing w:line="480" w:lineRule="auto"/>
        <w:ind w:firstLine="720"/>
        <w:jc w:val="both"/>
        <w:rPr>
          <w:lang w:val="en-US"/>
        </w:rPr>
      </w:pPr>
      <w:r w:rsidRPr="00F2449F">
        <w:rPr>
          <w:i/>
          <w:color w:val="000000"/>
          <w:lang w:val="en-US"/>
        </w:rPr>
        <w:t>“Creating hubs where our people can interact and learn from each other has been a winning strategy to build a flexible workforce that can always contribute with innovative ideas when there is a problem.” (Export Manager, Wine)</w:t>
      </w:r>
    </w:p>
    <w:p w14:paraId="7CA55215" w14:textId="77777777" w:rsidR="00F516D2" w:rsidRPr="00F2449F" w:rsidRDefault="00717D17" w:rsidP="00F516D2">
      <w:pPr>
        <w:spacing w:line="480" w:lineRule="auto"/>
        <w:ind w:firstLine="720"/>
        <w:jc w:val="both"/>
        <w:rPr>
          <w:lang w:val="en-US"/>
        </w:rPr>
      </w:pPr>
      <w:r w:rsidRPr="00F2449F">
        <w:rPr>
          <w:lang w:val="en-US"/>
        </w:rPr>
        <w:t xml:space="preserve">Likewise, significant emphasis was placed on the value of continuous learning and development. The commitment to continuous learning not only enhances individual competence but also bolsters the organization's overall antifragile adaptability in the face of evolving challenges. </w:t>
      </w:r>
    </w:p>
    <w:p w14:paraId="000001F8" w14:textId="383FA4E2" w:rsidR="00985B1F" w:rsidRPr="00F2449F" w:rsidRDefault="00717D17" w:rsidP="00F516D2">
      <w:pPr>
        <w:spacing w:line="480" w:lineRule="auto"/>
        <w:ind w:firstLine="720"/>
        <w:jc w:val="both"/>
        <w:rPr>
          <w:lang w:val="en-US"/>
        </w:rPr>
      </w:pPr>
      <w:r w:rsidRPr="00F2449F">
        <w:rPr>
          <w:i/>
          <w:color w:val="000000"/>
          <w:lang w:val="en-US"/>
        </w:rPr>
        <w:t>“Continuous learning is the only way to keep adapting to changing circumstances that we can never forecast. We try to foster inclusiveness and openness in our company, starting with the people we hire, we want our staff to know how to communicate and work in difficult environments, sometimes without the optimal tools or information.” (Chief Marketing Officer, Wholesale Distribution)</w:t>
      </w:r>
    </w:p>
    <w:p w14:paraId="6C304C19" w14:textId="513F0E57" w:rsidR="00DE1348"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 xml:space="preserve">This ability includes creating a culture of transparency that fosters values like innovation, creativity, empathy, communication and adaptability, and is a positive way of empowering employees to cultivate any uncertainty and transform it into added value for the organization rather than being just a liability. Therefore, organizations that empower their employees through depenalization of failure, by offering learning and development opportunities and fostering a culture that is based on trust and open communication, will be better equipped to succeed in uncertain situations. </w:t>
      </w:r>
    </w:p>
    <w:p w14:paraId="000001FA" w14:textId="69869C8A"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lastRenderedPageBreak/>
        <w:t>Training constitutes a pivotal facet in the empowerment of employees, serving as a fundamental tool for organizations to fully harness their capacities. Its scope encompasses diverse activities, ranging from adept use of technologies to adept relationship management and cultivation of emotional intelligence. This ensures that every member of the organization not only comprehends but also embraces the culture of antifragile adaptability imperative for navigating the current landscape of uncertainty and ambiguity in the business realm.</w:t>
      </w:r>
    </w:p>
    <w:p w14:paraId="000001FB" w14:textId="77777777" w:rsidR="00985B1F" w:rsidRPr="00F2449F" w:rsidRDefault="00717D17" w:rsidP="007B62B8">
      <w:pPr>
        <w:spacing w:line="480" w:lineRule="auto"/>
        <w:ind w:right="560" w:firstLine="720"/>
        <w:jc w:val="both"/>
        <w:rPr>
          <w:color w:val="000000"/>
          <w:lang w:val="en-US"/>
        </w:rPr>
      </w:pPr>
      <w:r w:rsidRPr="00F2449F">
        <w:rPr>
          <w:color w:val="000000"/>
          <w:lang w:val="en-US"/>
        </w:rPr>
        <w:t>In an antifragile paradigm, the impact of training extends beyond the individual to influence the broader network. Through experiential learning and real-life simulations, employees are encouraged to cultivate their creative thinking acumen, enabling them to proactively devise alternative solutions to challenges stemming from uncertain circumstances. Proficiency in agility, communication, instinct management, and adaptability, fostered through training, equips organizations with the aptitude to adapt to shifting scenarios and address disruptions in an antifragile manner.</w:t>
      </w:r>
    </w:p>
    <w:p w14:paraId="15540BFD" w14:textId="77777777" w:rsidR="00DA2B3F" w:rsidRPr="00F2449F" w:rsidRDefault="00717D17" w:rsidP="00DA2B3F">
      <w:pPr>
        <w:spacing w:line="480" w:lineRule="auto"/>
        <w:ind w:right="560" w:firstLine="720"/>
        <w:jc w:val="both"/>
        <w:rPr>
          <w:i/>
          <w:color w:val="000000"/>
          <w:lang w:val="en-US"/>
        </w:rPr>
      </w:pPr>
      <w:r w:rsidRPr="00F2449F">
        <w:rPr>
          <w:color w:val="000000"/>
          <w:lang w:val="en-US"/>
        </w:rPr>
        <w:t>Concurrently, extending support to various audiences and communities grappling with uncertainty proves instrumental in fortifying relationships, augmenting trust, and safeguarding the organizational reputation during times of exigency. The provisioning of comprehensive training to a wider audience emerges as an integral component of embracing flexibility and perpetuating continuous engagement with key stakeholders. This is especially salient given the paramount importance of instinct, awareness, and prompt response times in today's intricate business milieu. However, the complexity of modern organizations necessitates precise training methodologies for the optimal development of these capacities.</w:t>
      </w:r>
      <w:r w:rsidRPr="00F2449F">
        <w:rPr>
          <w:i/>
          <w:color w:val="000000"/>
          <w:lang w:val="en-US"/>
        </w:rPr>
        <w:t xml:space="preserve"> </w:t>
      </w:r>
    </w:p>
    <w:p w14:paraId="000001FD" w14:textId="7318B13B" w:rsidR="00985B1F" w:rsidRPr="00F2449F" w:rsidRDefault="00717D17" w:rsidP="00DA2B3F">
      <w:pPr>
        <w:spacing w:line="480" w:lineRule="auto"/>
        <w:ind w:right="560" w:firstLine="720"/>
        <w:jc w:val="both"/>
        <w:rPr>
          <w:i/>
          <w:color w:val="000000"/>
          <w:lang w:val="en-US"/>
        </w:rPr>
      </w:pPr>
      <w:r w:rsidRPr="00F2449F">
        <w:rPr>
          <w:i/>
          <w:color w:val="000000"/>
          <w:lang w:val="en-US"/>
        </w:rPr>
        <w:t>“I have walked into rather large multi-billion dollars corporations and saw that, while they have a lot of plans and infrastructure in place, they do not focus on training those basic skills of flexibility, real-time decision making, and employees and managers cannot think on their feet when something happens.” (General Manager, Management Consulting)</w:t>
      </w:r>
    </w:p>
    <w:p w14:paraId="000001FE" w14:textId="77777777" w:rsidR="00985B1F" w:rsidRPr="00F2449F" w:rsidRDefault="00985B1F" w:rsidP="007B62B8">
      <w:pPr>
        <w:spacing w:line="480" w:lineRule="auto"/>
        <w:ind w:firstLine="720"/>
        <w:jc w:val="both"/>
        <w:rPr>
          <w:b/>
          <w:color w:val="000000"/>
          <w:lang w:val="en-US"/>
        </w:rPr>
      </w:pPr>
    </w:p>
    <w:p w14:paraId="000001FF" w14:textId="77777777" w:rsidR="00985B1F" w:rsidRPr="00F2449F" w:rsidRDefault="00717D17" w:rsidP="007B62B8">
      <w:pPr>
        <w:spacing w:line="480" w:lineRule="auto"/>
        <w:jc w:val="both"/>
        <w:rPr>
          <w:i/>
          <w:color w:val="000000"/>
          <w:lang w:val="en-US"/>
        </w:rPr>
      </w:pPr>
      <w:r w:rsidRPr="00F2449F">
        <w:rPr>
          <w:i/>
          <w:color w:val="000000"/>
          <w:lang w:val="en-US"/>
        </w:rPr>
        <w:lastRenderedPageBreak/>
        <w:t>4.2.2. Technological Agility</w:t>
      </w:r>
    </w:p>
    <w:p w14:paraId="00000200" w14:textId="545C9D95" w:rsidR="00985B1F" w:rsidRPr="00F2449F" w:rsidRDefault="00717D17" w:rsidP="007B62B8">
      <w:pPr>
        <w:spacing w:line="480" w:lineRule="auto"/>
        <w:ind w:firstLine="720"/>
        <w:jc w:val="both"/>
        <w:rPr>
          <w:color w:val="000000"/>
          <w:lang w:val="en-US"/>
        </w:rPr>
      </w:pPr>
      <w:r w:rsidRPr="00F2449F">
        <w:rPr>
          <w:color w:val="000000"/>
          <w:lang w:val="en-US"/>
        </w:rPr>
        <w:t xml:space="preserve">The second enabler of antifragile adaptation refers to the application of new technologies that increase an organization’s agility and allow for successfully dealing with systemic uncertainty and disruptions. These technologies are (1) artificial intelligence, (2) automation, (3) advanced analytics. </w:t>
      </w:r>
    </w:p>
    <w:p w14:paraId="1487A4C8" w14:textId="77777777" w:rsidR="00DA2B3F" w:rsidRPr="00F2449F" w:rsidRDefault="00717D17" w:rsidP="00DA2B3F">
      <w:pPr>
        <w:spacing w:line="480" w:lineRule="auto"/>
        <w:ind w:firstLine="720"/>
        <w:jc w:val="both"/>
        <w:rPr>
          <w:color w:val="000000"/>
          <w:lang w:val="en-US"/>
        </w:rPr>
      </w:pPr>
      <w:r w:rsidRPr="00F2449F">
        <w:rPr>
          <w:b/>
          <w:i/>
          <w:color w:val="000000"/>
          <w:lang w:val="en-US"/>
        </w:rPr>
        <w:t>Artificial Intelligence</w:t>
      </w:r>
      <w:r w:rsidRPr="00F2449F">
        <w:rPr>
          <w:color w:val="000000"/>
          <w:lang w:val="en-US"/>
        </w:rPr>
        <w:t xml:space="preserve">. The use of artificial intelligence is pivotal to be able to support real-time action and promptly react to sudden shocks stemming from uncertainty and crises. Artificial intelligence can be used to analyze large amounts of data, and can be trained and programmed to identify crisis risks, patterns in conversations, and trends on the Internet and on social and traditional media and spot any expectational gaps (Wartick &amp; Mahon, 1994) or negative sentiment that may suggest the appearance of a crisis peak. These insights can then be used to inform successful decision-making. </w:t>
      </w:r>
    </w:p>
    <w:p w14:paraId="00000202" w14:textId="73440BDA" w:rsidR="00985B1F" w:rsidRPr="00F2449F" w:rsidRDefault="00717D17" w:rsidP="00DA2B3F">
      <w:pPr>
        <w:spacing w:line="480" w:lineRule="auto"/>
        <w:ind w:firstLine="720"/>
        <w:jc w:val="both"/>
        <w:rPr>
          <w:color w:val="000000"/>
          <w:lang w:val="en-US"/>
        </w:rPr>
      </w:pPr>
      <w:r w:rsidRPr="00F2449F">
        <w:rPr>
          <w:i/>
          <w:color w:val="000000"/>
          <w:lang w:val="en-US"/>
        </w:rPr>
        <w:t>“We decided to experiment the use of artificial intelligence, because we needed an instrument that is very sensitive to the environment and can spot conversations or dynamics that we need to be aware of. With the amount of data available nowadays, it would be impossible to do it manually.” (Sales &amp; marketing Manager, Communication and Marketing Consulting)</w:t>
      </w:r>
    </w:p>
    <w:p w14:paraId="3F45DC44" w14:textId="77777777" w:rsidR="00DA2B3F" w:rsidRPr="00F2449F" w:rsidRDefault="00717D17" w:rsidP="00DA2B3F">
      <w:pPr>
        <w:spacing w:line="480" w:lineRule="auto"/>
        <w:ind w:firstLine="720"/>
        <w:jc w:val="both"/>
        <w:rPr>
          <w:color w:val="000000"/>
          <w:lang w:val="en-US"/>
        </w:rPr>
      </w:pPr>
      <w:r w:rsidRPr="00F2449F">
        <w:rPr>
          <w:color w:val="000000"/>
          <w:lang w:val="en-US"/>
        </w:rPr>
        <w:t xml:space="preserve">Artificial intelligence can be of tremendous help in risk management, because it scans the online environment and spots issues and trends and also keeps learning all the time. The organizations can streamline and increase the efficiency of their data analysis as analysts and managers can now rely on a mixture of human know-how and technological precision.                                                                                        </w:t>
      </w:r>
    </w:p>
    <w:p w14:paraId="00000204" w14:textId="70B0875D" w:rsidR="00985B1F" w:rsidRPr="00F2449F" w:rsidRDefault="00717D17" w:rsidP="00DA2B3F">
      <w:pPr>
        <w:spacing w:line="480" w:lineRule="auto"/>
        <w:ind w:firstLine="720"/>
        <w:jc w:val="both"/>
        <w:rPr>
          <w:color w:val="000000"/>
          <w:lang w:val="en-US"/>
        </w:rPr>
      </w:pPr>
      <w:r w:rsidRPr="00F2449F">
        <w:rPr>
          <w:i/>
          <w:color w:val="000000"/>
          <w:lang w:val="en-US"/>
        </w:rPr>
        <w:t>“Without artificial intelligence, we could not implement real-time responses as we do now, it would be too slow. Artificial intelligence does not only spot problems for us, but it can also suggest potential solutions based on what was successful in the past or what it knows, so we can act much quicker.” (Business Developer, ICT security services)</w:t>
      </w:r>
    </w:p>
    <w:p w14:paraId="1F35C14D" w14:textId="77777777" w:rsidR="00DA2B3F" w:rsidRPr="00F2449F" w:rsidRDefault="00717D17" w:rsidP="00DA2B3F">
      <w:pPr>
        <w:spacing w:line="480" w:lineRule="auto"/>
        <w:ind w:firstLine="720"/>
        <w:jc w:val="both"/>
        <w:rPr>
          <w:color w:val="000000"/>
          <w:lang w:val="en-US"/>
        </w:rPr>
      </w:pPr>
      <w:r w:rsidRPr="00F2449F">
        <w:rPr>
          <w:color w:val="000000"/>
          <w:lang w:val="en-US"/>
        </w:rPr>
        <w:t xml:space="preserve">It is also important to note that the mere collection of data without the use of </w:t>
      </w:r>
      <w:r w:rsidR="00DE1348" w:rsidRPr="00F2449F">
        <w:rPr>
          <w:color w:val="000000"/>
          <w:lang w:val="en-US"/>
        </w:rPr>
        <w:t xml:space="preserve">the appropriate </w:t>
      </w:r>
      <w:r w:rsidRPr="00F2449F">
        <w:rPr>
          <w:color w:val="000000"/>
          <w:lang w:val="en-US"/>
        </w:rPr>
        <w:t>technology that can support its complexity is of no use to companies</w:t>
      </w:r>
      <w:r w:rsidR="00DE1348" w:rsidRPr="00F2449F">
        <w:rPr>
          <w:color w:val="000000"/>
          <w:lang w:val="en-US"/>
        </w:rPr>
        <w:t xml:space="preserve">, </w:t>
      </w:r>
      <w:r w:rsidRPr="00F2449F">
        <w:rPr>
          <w:color w:val="000000"/>
          <w:lang w:val="en-US"/>
        </w:rPr>
        <w:t xml:space="preserve">and </w:t>
      </w:r>
      <w:r w:rsidR="00DE1348" w:rsidRPr="00F2449F">
        <w:rPr>
          <w:color w:val="000000"/>
          <w:lang w:val="en-US"/>
        </w:rPr>
        <w:t xml:space="preserve">it </w:t>
      </w:r>
      <w:r w:rsidRPr="00F2449F">
        <w:rPr>
          <w:color w:val="000000"/>
          <w:lang w:val="en-US"/>
        </w:rPr>
        <w:t xml:space="preserve">can even slow the pace </w:t>
      </w:r>
      <w:r w:rsidRPr="00F2449F">
        <w:rPr>
          <w:color w:val="000000"/>
          <w:lang w:val="en-US"/>
        </w:rPr>
        <w:lastRenderedPageBreak/>
        <w:t>of antifragile adaptation. The role of artificial intelligence is precisely one of silently monitoring the environment and providing information that is actually relevant.</w:t>
      </w:r>
    </w:p>
    <w:p w14:paraId="00000206" w14:textId="4513AF38" w:rsidR="00985B1F" w:rsidRPr="00F2449F" w:rsidRDefault="00717D17" w:rsidP="00DA2B3F">
      <w:pPr>
        <w:spacing w:line="480" w:lineRule="auto"/>
        <w:ind w:firstLine="720"/>
        <w:jc w:val="both"/>
        <w:rPr>
          <w:color w:val="000000"/>
          <w:lang w:val="en-US"/>
        </w:rPr>
      </w:pPr>
      <w:r w:rsidRPr="00F2449F">
        <w:rPr>
          <w:i/>
          <w:color w:val="000000"/>
          <w:lang w:val="en-US"/>
        </w:rPr>
        <w:t>“Managers do not simply want data that everyone can have, they rather want data that is tailored to (their) context, which is unique.” (Export Manager, Food &amp; Beverage)</w:t>
      </w:r>
    </w:p>
    <w:p w14:paraId="60319E9B" w14:textId="77777777" w:rsidR="00DA2B3F" w:rsidRPr="00F2449F" w:rsidRDefault="00717D17" w:rsidP="00DA2B3F">
      <w:pPr>
        <w:spacing w:line="480" w:lineRule="auto"/>
        <w:ind w:firstLine="720"/>
        <w:jc w:val="both"/>
        <w:rPr>
          <w:color w:val="000000"/>
          <w:lang w:val="en-US"/>
        </w:rPr>
      </w:pPr>
      <w:r w:rsidRPr="00F2449F">
        <w:rPr>
          <w:color w:val="000000"/>
          <w:lang w:val="en-US"/>
        </w:rPr>
        <w:t>From this perspective, artificial intelligence becomes a simplifier of complexity. The interviewees indeed acknowledged the importance of artificial intelligence instruments for the future to be able to implement continuous and ongoing scenario analysis.</w:t>
      </w:r>
    </w:p>
    <w:p w14:paraId="00000208" w14:textId="3D46CCF5" w:rsidR="00985B1F" w:rsidRPr="00F2449F" w:rsidRDefault="00717D17" w:rsidP="00DA2B3F">
      <w:pPr>
        <w:spacing w:line="480" w:lineRule="auto"/>
        <w:ind w:firstLine="720"/>
        <w:jc w:val="both"/>
        <w:rPr>
          <w:color w:val="000000"/>
          <w:lang w:val="en-US"/>
        </w:rPr>
      </w:pPr>
      <w:r w:rsidRPr="00F2449F">
        <w:rPr>
          <w:i/>
          <w:color w:val="000000"/>
          <w:lang w:val="en-US"/>
        </w:rPr>
        <w:t>“If organizations invested in those technologies used for monitoring activities, to detect, prevent, train, and manage incidents, then uncertainty would be less of a problem, and there would be more information to use for communication.” (General Manager, Management Consulting)</w:t>
      </w:r>
    </w:p>
    <w:p w14:paraId="2992D54C" w14:textId="77777777" w:rsidR="00DA2B3F" w:rsidRPr="00F2449F" w:rsidRDefault="00717D17" w:rsidP="00DA2B3F">
      <w:pPr>
        <w:spacing w:line="480" w:lineRule="auto"/>
        <w:ind w:firstLine="720"/>
        <w:jc w:val="both"/>
        <w:rPr>
          <w:color w:val="000000"/>
          <w:lang w:val="en-US"/>
        </w:rPr>
      </w:pPr>
      <w:r w:rsidRPr="00F2449F">
        <w:rPr>
          <w:color w:val="000000"/>
          <w:lang w:val="en-US"/>
        </w:rPr>
        <w:t xml:space="preserve">Artificial Intelligence is also essential for the integration of information from different sources, so organizations can rely on high quality information, instead of focusing only on the able to quantity. </w:t>
      </w:r>
    </w:p>
    <w:p w14:paraId="0000020A" w14:textId="5E56233D" w:rsidR="00985B1F" w:rsidRPr="00F2449F" w:rsidRDefault="00717D17" w:rsidP="00DA2B3F">
      <w:pPr>
        <w:spacing w:line="480" w:lineRule="auto"/>
        <w:ind w:firstLine="720"/>
        <w:jc w:val="both"/>
        <w:rPr>
          <w:color w:val="000000"/>
          <w:lang w:val="en-US"/>
        </w:rPr>
      </w:pPr>
      <w:r w:rsidRPr="00F2449F">
        <w:rPr>
          <w:i/>
          <w:color w:val="000000"/>
          <w:lang w:val="en-US"/>
        </w:rPr>
        <w:t>“We have an ERP integrated with AI systems covering most of the functions in our company, because we realized that this creates a flow of information across departments and teams, and it makes it so much easier to have a comprehensive picture of what is happening inside the company, but also outside.” (General Manager, Management Consulting)</w:t>
      </w:r>
    </w:p>
    <w:p w14:paraId="60B7B759" w14:textId="77777777" w:rsidR="00DA2B3F" w:rsidRPr="00F2449F" w:rsidRDefault="00717D17" w:rsidP="00DA2B3F">
      <w:pPr>
        <w:spacing w:line="480" w:lineRule="auto"/>
        <w:ind w:firstLine="720"/>
        <w:jc w:val="both"/>
        <w:rPr>
          <w:i/>
          <w:color w:val="000000"/>
          <w:lang w:val="en-US"/>
        </w:rPr>
      </w:pPr>
      <w:r w:rsidRPr="00F2449F">
        <w:rPr>
          <w:color w:val="000000"/>
          <w:lang w:val="en-US"/>
        </w:rPr>
        <w:t>In addition to enabling contextual and real-time action planning, artificial intelligence plays a key role in adjusting decision-making “on the go” and thus responding to either small or big changes that were not foreseen in advance.</w:t>
      </w:r>
    </w:p>
    <w:p w14:paraId="0000020C" w14:textId="7FEDCBFD" w:rsidR="00985B1F" w:rsidRPr="00F2449F" w:rsidRDefault="00717D17" w:rsidP="00DA2B3F">
      <w:pPr>
        <w:spacing w:line="480" w:lineRule="auto"/>
        <w:ind w:firstLine="720"/>
        <w:jc w:val="both"/>
        <w:rPr>
          <w:color w:val="000000"/>
          <w:lang w:val="en-US"/>
        </w:rPr>
      </w:pPr>
      <w:r w:rsidRPr="00F2449F">
        <w:rPr>
          <w:i/>
          <w:color w:val="000000"/>
          <w:lang w:val="en-US"/>
        </w:rPr>
        <w:t>“It has become impossible to trust long-term scenario forecasting, so we use artificial intelligence to find information and immediate feedback to constantly update our planned strategy.” (CEO, Manufacturing)</w:t>
      </w:r>
    </w:p>
    <w:p w14:paraId="0000020D" w14:textId="33D25A68" w:rsidR="00985B1F" w:rsidRPr="00F2449F" w:rsidRDefault="00717D17" w:rsidP="007B62B8">
      <w:pPr>
        <w:spacing w:line="480" w:lineRule="auto"/>
        <w:ind w:firstLine="720"/>
        <w:jc w:val="both"/>
        <w:rPr>
          <w:color w:val="000000"/>
          <w:lang w:val="en-US"/>
        </w:rPr>
      </w:pPr>
      <w:r w:rsidRPr="00F2449F">
        <w:rPr>
          <w:color w:val="000000"/>
          <w:lang w:val="en-US"/>
        </w:rPr>
        <w:t>Thus, a mixture of anticipation and planning are the basis of seamless adaptation, and all these instruments can contribute to the creation of an attitude of flexibility and readiness, similar to a relaxed status rather than one of constant alert.</w:t>
      </w:r>
    </w:p>
    <w:p w14:paraId="55B32196" w14:textId="77777777" w:rsidR="00DA2B3F" w:rsidRPr="00F2449F" w:rsidRDefault="00717D17" w:rsidP="00DA2B3F">
      <w:pPr>
        <w:spacing w:line="480" w:lineRule="auto"/>
        <w:ind w:firstLine="720"/>
        <w:jc w:val="both"/>
        <w:rPr>
          <w:color w:val="000000"/>
          <w:lang w:val="en-US"/>
        </w:rPr>
      </w:pPr>
      <w:r w:rsidRPr="00F2449F">
        <w:rPr>
          <w:b/>
          <w:i/>
          <w:color w:val="000000"/>
          <w:lang w:val="en-US"/>
        </w:rPr>
        <w:lastRenderedPageBreak/>
        <w:t>Automation</w:t>
      </w:r>
      <w:r w:rsidRPr="00F2449F">
        <w:rPr>
          <w:color w:val="000000"/>
          <w:lang w:val="en-US"/>
        </w:rPr>
        <w:t>. Automation has resulted in being able to play a fundamental role in enabling antifragile adaptation. On the one hand, automation supports human decision-making by reducing the risk derived from cognitive biases; on the other hand, it also contributes to process streamlining, so organizations can rely on smoother and faster adaptation dynamics and thus more and greater success.</w:t>
      </w:r>
    </w:p>
    <w:p w14:paraId="0000020F" w14:textId="73CB34BD" w:rsidR="00985B1F" w:rsidRPr="00F2449F" w:rsidRDefault="00717D17" w:rsidP="00DA2B3F">
      <w:pPr>
        <w:spacing w:line="480" w:lineRule="auto"/>
        <w:ind w:firstLine="720"/>
        <w:jc w:val="both"/>
        <w:rPr>
          <w:color w:val="000000"/>
          <w:lang w:val="en-US"/>
        </w:rPr>
      </w:pPr>
      <w:r w:rsidRPr="00F2449F">
        <w:rPr>
          <w:i/>
          <w:color w:val="000000"/>
          <w:lang w:val="en-US"/>
        </w:rPr>
        <w:t>“We have increased our efficiency by a lot thanks to the automation of those tasks that were taking away many of our resources. Now we can concentrate more on how we strategize and prioritize those tasks, so we are ready when we need to change something.” (CEO, Life Sciences and Healthcare)</w:t>
      </w:r>
    </w:p>
    <w:p w14:paraId="2F78F8C4" w14:textId="77777777" w:rsidR="00DA2B3F" w:rsidRPr="00F2449F" w:rsidRDefault="00717D17" w:rsidP="00DA2B3F">
      <w:pPr>
        <w:spacing w:line="480" w:lineRule="auto"/>
        <w:ind w:firstLine="720"/>
        <w:jc w:val="both"/>
        <w:rPr>
          <w:color w:val="000000"/>
          <w:lang w:val="en-US"/>
        </w:rPr>
      </w:pPr>
      <w:r w:rsidRPr="00F2449F">
        <w:rPr>
          <w:color w:val="000000"/>
          <w:lang w:val="en-US"/>
        </w:rPr>
        <w:t>Here, the results show that organizations that become open to automation have better results when quickly changing their business models, supply strategies, or production levels without disrupting their core operations. In other words, they benefit from the increased agility. Automation also results in an increasingly stable quality of performance, procurement practices, and relationship management, so any disruptive events have fewer chances of affecting the way these organizations conduct business as well as their reputation in the eyes of different stakeholders.</w:t>
      </w:r>
    </w:p>
    <w:p w14:paraId="00000211" w14:textId="5C43C8BE" w:rsidR="00985B1F" w:rsidRPr="00F2449F" w:rsidRDefault="00717D17" w:rsidP="00DA2B3F">
      <w:pPr>
        <w:spacing w:line="480" w:lineRule="auto"/>
        <w:ind w:firstLine="720"/>
        <w:jc w:val="both"/>
        <w:rPr>
          <w:color w:val="000000"/>
          <w:lang w:val="en-US"/>
        </w:rPr>
      </w:pPr>
      <w:r w:rsidRPr="00F2449F">
        <w:rPr>
          <w:i/>
          <w:color w:val="000000"/>
          <w:lang w:val="en-US"/>
        </w:rPr>
        <w:t>“Automation is the best weapon to face changes in the demand. After Covid-19 we faced a sudden increase in the number of orders from our clients which would otherwise be impossible to satisfy, and this would not look good in the eyes of our long-term clients and partners.” (Growth Hacker, Agribusiness)</w:t>
      </w:r>
    </w:p>
    <w:p w14:paraId="0B55043E" w14:textId="77777777" w:rsidR="00DA2B3F" w:rsidRPr="00F2449F" w:rsidRDefault="00717D17" w:rsidP="00DA2B3F">
      <w:pPr>
        <w:spacing w:line="480" w:lineRule="auto"/>
        <w:ind w:firstLine="720"/>
        <w:jc w:val="both"/>
        <w:rPr>
          <w:color w:val="000000"/>
          <w:lang w:val="en-US"/>
        </w:rPr>
      </w:pPr>
      <w:r w:rsidRPr="00F2449F">
        <w:rPr>
          <w:color w:val="000000"/>
          <w:lang w:val="en-US"/>
        </w:rPr>
        <w:t>Taking away the risk of organizational performance dropping when something suddenly happens appears fundamental. The reason that organizations rely on automation is to be able to relocate and redirect their resources to the management of extraordinary situations when they are under pressure and yet still know that everything else can function independently</w:t>
      </w:r>
    </w:p>
    <w:p w14:paraId="00000213" w14:textId="59361874" w:rsidR="00985B1F" w:rsidRPr="00F2449F" w:rsidRDefault="00717D17" w:rsidP="00DA2B3F">
      <w:pPr>
        <w:spacing w:line="480" w:lineRule="auto"/>
        <w:ind w:firstLine="720"/>
        <w:jc w:val="both"/>
        <w:rPr>
          <w:color w:val="000000"/>
          <w:lang w:val="en-US"/>
        </w:rPr>
      </w:pPr>
      <w:r w:rsidRPr="00F2449F">
        <w:rPr>
          <w:i/>
          <w:color w:val="000000"/>
          <w:lang w:val="en-US"/>
        </w:rPr>
        <w:t>“The automation of tasks is key for us, especially when it comes to dealing with bureaucracy, which takes so many resources and needs simplification.” (Export Manager, Wine)</w:t>
      </w:r>
    </w:p>
    <w:p w14:paraId="00000214" w14:textId="182E9ACB" w:rsidR="00985B1F" w:rsidRPr="00F2449F" w:rsidRDefault="00717D17" w:rsidP="007B62B8">
      <w:pPr>
        <w:spacing w:line="480" w:lineRule="auto"/>
        <w:ind w:firstLine="720"/>
        <w:jc w:val="both"/>
        <w:rPr>
          <w:color w:val="000000"/>
          <w:lang w:val="en-US"/>
        </w:rPr>
      </w:pPr>
      <w:r w:rsidRPr="00F2449F">
        <w:rPr>
          <w:color w:val="000000"/>
          <w:lang w:val="en-US"/>
        </w:rPr>
        <w:t xml:space="preserve">Complex, but mechanical, tasks involve many resources and leave the vulnerabilities open, since there is a high risk of organizations making costly mistakes (such as in the management of </w:t>
      </w:r>
      <w:r w:rsidRPr="00F2449F">
        <w:rPr>
          <w:color w:val="000000"/>
          <w:lang w:val="en-US"/>
        </w:rPr>
        <w:lastRenderedPageBreak/>
        <w:t>bureaucratic procedures). For this reason, relying on automation seems to be beneficial to be able to reduce resource engagement and address vulnerabilities more effectively and quickly.</w:t>
      </w:r>
    </w:p>
    <w:p w14:paraId="00000215" w14:textId="77777777" w:rsidR="00985B1F" w:rsidRPr="00F2449F" w:rsidRDefault="00717D17" w:rsidP="007B62B8">
      <w:pPr>
        <w:spacing w:line="480" w:lineRule="auto"/>
        <w:ind w:firstLine="720"/>
        <w:jc w:val="both"/>
        <w:rPr>
          <w:lang w:val="en-US"/>
        </w:rPr>
      </w:pPr>
      <w:r w:rsidRPr="00F2449F">
        <w:rPr>
          <w:b/>
          <w:i/>
          <w:color w:val="000000"/>
          <w:lang w:val="en-US"/>
        </w:rPr>
        <w:t>Advanced Analytics</w:t>
      </w:r>
      <w:r w:rsidRPr="00F2449F">
        <w:rPr>
          <w:color w:val="000000"/>
          <w:lang w:val="en-US"/>
        </w:rPr>
        <w:t xml:space="preserve">. </w:t>
      </w:r>
      <w:r w:rsidRPr="00F2449F">
        <w:rPr>
          <w:lang w:val="en-US"/>
        </w:rPr>
        <w:t>Advanced analytics is an additional enabler of organizational adaptation and fighting uncertainty with antifragility. While it is another supporter of decision-making, as it collects and creates useful intelligence, therefore enabling environmental awareness, it also allows organizations to integrate scenario prediction activities with the ongoing monitoring of the entire business context.</w:t>
      </w:r>
    </w:p>
    <w:p w14:paraId="2C76DF13" w14:textId="77777777" w:rsidR="00DA2B3F" w:rsidRPr="00F2449F" w:rsidRDefault="00717D17" w:rsidP="00DA2B3F">
      <w:pPr>
        <w:spacing w:line="480" w:lineRule="auto"/>
        <w:ind w:firstLine="720"/>
        <w:jc w:val="both"/>
        <w:rPr>
          <w:lang w:val="en-US"/>
        </w:rPr>
      </w:pPr>
      <w:r w:rsidRPr="00F2449F">
        <w:rPr>
          <w:lang w:val="en-US"/>
        </w:rPr>
        <w:t>On the one hand, organizations can develop (at least) medium-term predictions to plan their strategy and resources, and on the other hand, they can implement continuous monitoring activity that immediately informs their original predictions, thereby allowing for their real-time adaptation.</w:t>
      </w:r>
    </w:p>
    <w:p w14:paraId="00000217" w14:textId="32100AB0" w:rsidR="00985B1F" w:rsidRPr="00F2449F" w:rsidRDefault="00717D17" w:rsidP="00DA2B3F">
      <w:pPr>
        <w:spacing w:line="480" w:lineRule="auto"/>
        <w:ind w:firstLine="720"/>
        <w:jc w:val="both"/>
        <w:rPr>
          <w:lang w:val="en-US"/>
        </w:rPr>
      </w:pPr>
      <w:r w:rsidRPr="00F2449F">
        <w:rPr>
          <w:i/>
          <w:color w:val="000000"/>
          <w:lang w:val="en-US"/>
        </w:rPr>
        <w:t xml:space="preserve">“The issue with traditional information collection that does not rely on advanced analytics, is that from the collection to the disclosure of information there is a long gap of time. This means that when we have the </w:t>
      </w:r>
      <w:proofErr w:type="gramStart"/>
      <w:r w:rsidRPr="00F2449F">
        <w:rPr>
          <w:i/>
          <w:color w:val="000000"/>
          <w:lang w:val="en-US"/>
        </w:rPr>
        <w:t>information</w:t>
      </w:r>
      <w:proofErr w:type="gramEnd"/>
      <w:r w:rsidRPr="00F2449F">
        <w:rPr>
          <w:i/>
          <w:color w:val="000000"/>
          <w:lang w:val="en-US"/>
        </w:rPr>
        <w:t xml:space="preserve"> we </w:t>
      </w:r>
      <w:r w:rsidR="00BE50F4" w:rsidRPr="00F2449F">
        <w:rPr>
          <w:i/>
          <w:color w:val="000000"/>
          <w:lang w:val="en-US"/>
        </w:rPr>
        <w:t>need</w:t>
      </w:r>
      <w:r w:rsidRPr="00F2449F">
        <w:rPr>
          <w:i/>
          <w:color w:val="000000"/>
          <w:lang w:val="en-US"/>
        </w:rPr>
        <w:t xml:space="preserve"> it is often too late and it becomes useless. The speed of data elaboration is a critical factor, and it must be managed correctly.” (Customer Success Manager, Food &amp; Beverage)</w:t>
      </w:r>
    </w:p>
    <w:p w14:paraId="1A55C769" w14:textId="77777777" w:rsidR="00DA2B3F" w:rsidRPr="00F2449F" w:rsidRDefault="00717D17" w:rsidP="00DA2B3F">
      <w:pPr>
        <w:spacing w:line="480" w:lineRule="auto"/>
        <w:ind w:firstLine="720"/>
        <w:jc w:val="both"/>
        <w:rPr>
          <w:lang w:val="en-US"/>
        </w:rPr>
      </w:pPr>
      <w:r w:rsidRPr="00F2449F">
        <w:rPr>
          <w:lang w:val="en-US"/>
        </w:rPr>
        <w:t>Advanced analytics, moreover, supports effective adaptation by working on the optimization of costs and potential inefficiencies. These elements can wear down organizational resources, weakening their position and exposing them to the consequences of disruptions.</w:t>
      </w:r>
    </w:p>
    <w:p w14:paraId="00000219" w14:textId="4FFC3A4F" w:rsidR="00985B1F" w:rsidRPr="00F2449F" w:rsidRDefault="00717D17" w:rsidP="00DA2B3F">
      <w:pPr>
        <w:spacing w:line="480" w:lineRule="auto"/>
        <w:ind w:firstLine="720"/>
        <w:jc w:val="both"/>
        <w:rPr>
          <w:lang w:val="en-US"/>
        </w:rPr>
      </w:pPr>
      <w:r w:rsidRPr="00F2449F">
        <w:rPr>
          <w:i/>
          <w:color w:val="000000"/>
          <w:lang w:val="en-US"/>
        </w:rPr>
        <w:t>“A support in the analysis of costs, especially for what concerns logistics and transportation, is very important for us, because we need to know where it is essential to invest and where we can save resources, and sometimes it is not very clear.” (Export Manager, Wine)</w:t>
      </w:r>
    </w:p>
    <w:p w14:paraId="0000021A" w14:textId="442CBC83" w:rsidR="00985B1F" w:rsidRPr="00F2449F" w:rsidRDefault="00717D17" w:rsidP="007B62B8">
      <w:pPr>
        <w:spacing w:line="480" w:lineRule="auto"/>
        <w:ind w:firstLine="720"/>
        <w:jc w:val="both"/>
        <w:rPr>
          <w:lang w:val="en-US"/>
        </w:rPr>
      </w:pPr>
      <w:r w:rsidRPr="00F2449F">
        <w:rPr>
          <w:lang w:val="en-US"/>
        </w:rPr>
        <w:t>In a similar way, advanced analytics can provide clear insights into clients and suppliers, allowing organizations to anticipate changing needs and opportunities, although this factor is only one   of many in the complex system of adaptation dynamics.</w:t>
      </w:r>
    </w:p>
    <w:p w14:paraId="0000021B" w14:textId="77777777" w:rsidR="00985B1F" w:rsidRPr="00F2449F" w:rsidRDefault="00717D17" w:rsidP="007B62B8">
      <w:pPr>
        <w:spacing w:line="480" w:lineRule="auto"/>
        <w:ind w:firstLine="720"/>
        <w:jc w:val="both"/>
        <w:rPr>
          <w:lang w:val="en-US"/>
        </w:rPr>
      </w:pPr>
      <w:r w:rsidRPr="00F2449F">
        <w:rPr>
          <w:lang w:val="en-US"/>
        </w:rPr>
        <w:t xml:space="preserve">The last identified role of advanced analytics in the creation of a system that remains efficient in the face of uncertainty and disruptions, rests in its ability to reduce partner-related vulnerabilities </w:t>
      </w:r>
      <w:r w:rsidRPr="00F2449F">
        <w:rPr>
          <w:lang w:val="en-US"/>
        </w:rPr>
        <w:lastRenderedPageBreak/>
        <w:t>and opportunities. From the B2B relational perspective, this role means that organizations can rely on advanced analytics to identify synergies as well as antagonisms with other players within and outside their industry, so that key relationship management can be carried out more strategically and with a broader eye on options that may not have been ever considered in a human-driven decision- making context.</w:t>
      </w:r>
    </w:p>
    <w:p w14:paraId="0000021C" w14:textId="77777777" w:rsidR="00985B1F" w:rsidRPr="00F2449F" w:rsidRDefault="00985B1F" w:rsidP="007B62B8">
      <w:pPr>
        <w:spacing w:line="480" w:lineRule="auto"/>
        <w:ind w:firstLine="720"/>
        <w:jc w:val="both"/>
        <w:rPr>
          <w:lang w:val="en-US"/>
        </w:rPr>
      </w:pPr>
    </w:p>
    <w:p w14:paraId="0000021D" w14:textId="77777777" w:rsidR="00985B1F" w:rsidRPr="00F2449F" w:rsidRDefault="00717D17" w:rsidP="007B62B8">
      <w:pPr>
        <w:spacing w:line="480" w:lineRule="auto"/>
        <w:jc w:val="both"/>
        <w:rPr>
          <w:b/>
          <w:lang w:val="en-US"/>
        </w:rPr>
      </w:pPr>
      <w:r w:rsidRPr="00F2449F">
        <w:rPr>
          <w:b/>
          <w:lang w:val="en-US"/>
        </w:rPr>
        <w:t>5. Discussion</w:t>
      </w:r>
    </w:p>
    <w:p w14:paraId="0000021E" w14:textId="77777777" w:rsidR="00985B1F" w:rsidRPr="00F2449F" w:rsidRDefault="00717D17" w:rsidP="007B62B8">
      <w:pPr>
        <w:spacing w:line="480" w:lineRule="auto"/>
        <w:ind w:firstLine="720"/>
        <w:jc w:val="both"/>
        <w:rPr>
          <w:lang w:val="en-US"/>
        </w:rPr>
      </w:pPr>
      <w:r w:rsidRPr="00F2449F">
        <w:rPr>
          <w:lang w:val="en-US"/>
        </w:rPr>
        <w:t xml:space="preserve">In today's markets, uncertainty reigns supreme, giving rise to unforeseen challenges that demand exceptional responses to navigate the strains induced by unpredictable events (Beall, 2007; Bundy et al., 2017). This pervasive atmosphere is all too often marked by an unsettling level of uncertainty (Al-Dahash, Thayaparan &amp; Kulatunga, 2016). Scholars agree that both the prevention of and the reaction to major disruptions require organizational adaptation to accommodate change as well as responding to vulnerabilities. However, disruptive events seem to be turning, paradoxically, into daily routine. Organizations are surrounded by systemic uncertainty and continuous change, and despite the availability of large amounts of data and advanced computing tools, the contemporary business environment remains permeated with crisis risk. </w:t>
      </w:r>
    </w:p>
    <w:p w14:paraId="0000021F" w14:textId="77777777" w:rsidR="00985B1F" w:rsidRPr="00F2449F" w:rsidRDefault="00717D17" w:rsidP="007B62B8">
      <w:pPr>
        <w:spacing w:line="480" w:lineRule="auto"/>
        <w:ind w:firstLine="720"/>
        <w:jc w:val="both"/>
        <w:rPr>
          <w:lang w:val="en-US"/>
        </w:rPr>
      </w:pPr>
      <w:r w:rsidRPr="00F2449F">
        <w:rPr>
          <w:lang w:val="en-US"/>
        </w:rPr>
        <w:t>Relying solely on data analysis falls short in mitigating uncertainty and complexity (Gigerenzer, 2007; Guercini &amp; Lechner, 2021). Embracing change emerges as the paramount strategy for confronting such systemic uncertainty (Singh et al., 2020; Ivanov &amp; Dolgui, 2021; Sodhi, Tang, &amp; Willenson, 2021). Recent disruptive events have profoundly underscored the imperative for a fresh outlook on adaptation, one that transcends conventional notions of data analysis, readiness, and resilience. Given the anticipation of more frequent and severe crisis events in today's business landscape, organizations must cultivate new capacities to adapt effectively (Ritter and Pedersen, 2020).</w:t>
      </w:r>
    </w:p>
    <w:p w14:paraId="00000220" w14:textId="0E8C9FE2" w:rsidR="00985B1F" w:rsidRPr="00F2449F" w:rsidRDefault="00717D17" w:rsidP="007B62B8">
      <w:pPr>
        <w:spacing w:line="480" w:lineRule="auto"/>
        <w:ind w:firstLine="720"/>
        <w:jc w:val="both"/>
        <w:rPr>
          <w:lang w:val="en-US"/>
        </w:rPr>
      </w:pPr>
      <w:r w:rsidRPr="00F2449F">
        <w:rPr>
          <w:lang w:val="en-US"/>
        </w:rPr>
        <w:t>This study shows that the new forms of adaptation needed today are moving closer to the concept of antifragility (Taleb, 201</w:t>
      </w:r>
      <w:r w:rsidR="00E047EC" w:rsidRPr="00F2449F">
        <w:rPr>
          <w:lang w:val="en-US"/>
        </w:rPr>
        <w:t>4</w:t>
      </w:r>
      <w:r w:rsidRPr="00F2449F">
        <w:rPr>
          <w:lang w:val="en-US"/>
        </w:rPr>
        <w:t xml:space="preserve">). Although already present in the managerial debate, antifragility </w:t>
      </w:r>
      <w:r w:rsidRPr="00F2449F">
        <w:rPr>
          <w:lang w:val="en-US"/>
        </w:rPr>
        <w:lastRenderedPageBreak/>
        <w:t>is not discussed as much in the academic literature. Following the research by Ritter and Pedersen (2020), our study fully develops the idea of ‘antifragility’ in business and extends it to the concept of adaptation. We propose a conceptualization of ‘antifragile adaptation’ reflecting a proactive organizational process that empowers enterprises to not only thrive amidst endemic uncertainty, but also to surpass conventional forecasts, exceed resistance to adverse events, and dynamically extract benefits from unpredictable circumstances, fostering agile responses to perpetually shifting conditions.</w:t>
      </w:r>
    </w:p>
    <w:p w14:paraId="00000221" w14:textId="77777777" w:rsidR="00985B1F" w:rsidRPr="00F2449F" w:rsidRDefault="00717D17" w:rsidP="007B62B8">
      <w:pPr>
        <w:spacing w:line="480" w:lineRule="auto"/>
        <w:ind w:firstLine="720"/>
        <w:jc w:val="both"/>
        <w:rPr>
          <w:lang w:val="en-US"/>
        </w:rPr>
      </w:pPr>
      <w:r w:rsidRPr="00F2449F">
        <w:rPr>
          <w:lang w:val="en-US"/>
        </w:rPr>
        <w:t>While previous studies have framed adaptation as a response to stimuli coming from the context (Halinen, 1994), we propose it as having an intrinsic attitude and capability that is deployed independently from external happenings and allows an organization to be structured in a way that lets change to happen naturally. From the antifragile adaptation perspective, organizations do not pursue change and adaptation because they are forced to do so by changing circumstances; rather they anticipate the need for change and then seamlessly adapt.</w:t>
      </w:r>
    </w:p>
    <w:p w14:paraId="00000222" w14:textId="77777777" w:rsidR="00985B1F" w:rsidRPr="00F2449F" w:rsidRDefault="00717D17" w:rsidP="007B62B8">
      <w:pPr>
        <w:spacing w:line="480" w:lineRule="auto"/>
        <w:ind w:firstLine="720"/>
        <w:jc w:val="both"/>
        <w:rPr>
          <w:lang w:val="en-US"/>
        </w:rPr>
      </w:pPr>
      <w:r w:rsidRPr="00F2449F">
        <w:rPr>
          <w:lang w:val="en-US"/>
        </w:rPr>
        <w:t>As previously introduced here, we propose a conceptual framework of antifragile adaptation by outlining its antecedents and the enabling factors that are the basis of this organizational capability. Antifragile adaptation unfolds when specific processes, skills, and tools are activated at relational and network levels and in a synergistic way to gain an advantage from uncertainty and risk.</w:t>
      </w:r>
    </w:p>
    <w:p w14:paraId="00000223" w14:textId="243DEC7E" w:rsidR="00985B1F" w:rsidRPr="00F2449F" w:rsidRDefault="00717D17" w:rsidP="007B62B8">
      <w:pPr>
        <w:spacing w:line="480" w:lineRule="auto"/>
        <w:ind w:firstLine="720"/>
        <w:jc w:val="both"/>
        <w:rPr>
          <w:lang w:val="en-US"/>
        </w:rPr>
      </w:pPr>
      <w:r w:rsidRPr="00F2449F">
        <w:rPr>
          <w:lang w:val="en-US"/>
        </w:rPr>
        <w:t xml:space="preserve">The model is comprised of three antecedents and six enablers of antifragile adaptation. While the three antecedents are factors that precede and are necessary for an organization to achieve antifragile adaptation, the enablers, on the other hand, are those factors that facilitate or support this particular necessary outcome. The antecedents include 1) Ambidexterity, 2) Option Generation, and 3) Network Leveraging. That is, to adapt to an antifragile perspective, an organization must have the ability to exploit internal resources while still exploring new opportunities; it also needs to have an openness toward multiple alternative options that enable real-time action on strategic plans; lastly, an organization needs to leverage a network of relationships in order to nurture its communication flow and support network, while still sharing and receiving important information.  The enablers, on the </w:t>
      </w:r>
      <w:r w:rsidRPr="00F2449F">
        <w:rPr>
          <w:lang w:val="en-US"/>
        </w:rPr>
        <w:lastRenderedPageBreak/>
        <w:t>other hand, encompass three organizational capabilities, namely, 1) Complexity Mindset, 2) Perspective Communication, and 3) Empowered Employees, and three technological agility elements that are 4) Artificial Intelligence, 5) Automation, and 6) Advanced Analytics.</w:t>
      </w:r>
    </w:p>
    <w:p w14:paraId="00000224" w14:textId="77777777" w:rsidR="00985B1F" w:rsidRPr="00F2449F" w:rsidRDefault="00717D17" w:rsidP="007B62B8">
      <w:pPr>
        <w:spacing w:line="480" w:lineRule="auto"/>
        <w:ind w:firstLine="720"/>
        <w:jc w:val="both"/>
        <w:rPr>
          <w:lang w:val="en-US"/>
        </w:rPr>
      </w:pPr>
      <w:r w:rsidRPr="00F2449F">
        <w:rPr>
          <w:lang w:val="en-US"/>
        </w:rPr>
        <w:t>Specific organizational capabilities and technological agility have the power of enhancing antifragile adaptation, since these six factors define organizations via a flexible attitude that is open to change and can cultivate relationships with different stakeholders by both exploiting and nurturing the skills of its own employees.</w:t>
      </w:r>
    </w:p>
    <w:p w14:paraId="00000225" w14:textId="77777777" w:rsidR="00985B1F" w:rsidRPr="00F2449F" w:rsidRDefault="00717D17" w:rsidP="007B62B8">
      <w:pPr>
        <w:spacing w:line="480" w:lineRule="auto"/>
        <w:ind w:firstLine="720"/>
        <w:jc w:val="both"/>
        <w:rPr>
          <w:lang w:val="en-US"/>
        </w:rPr>
      </w:pPr>
      <w:r w:rsidRPr="00F2449F">
        <w:rPr>
          <w:lang w:val="en-US"/>
        </w:rPr>
        <w:t>To go into further detail, ambidexterity is a critical antecedent, as it allows companies to balance their exploitation and exploration activities effectively. This skill means that companies can simultaneously focus on exploiting their existing capabilities while also exploring new opportunities and experimenting with new ideas and not fall behind due to the uncertain and dynamic changes occurring in their environment (Joseph &amp; Ocasio, 2012). Option generation is another antecedent that is vital for antifragile adaptation. It is a company's ability to generate multiple options and solutions to address potential problems and uncertainties. Companies with high option generation capabilities can leverage their diverse expertise and knowledge to generate multiple options for responding to uncertain events, thereby allowing them to adapt quickly and effectively. The ability of organizations to generate diversified options according to changes in the environment is also connected to their ability to leverage their networks as sources of support, information sharing, and innovation.</w:t>
      </w:r>
    </w:p>
    <w:p w14:paraId="00000226" w14:textId="77777777" w:rsidR="00985B1F" w:rsidRPr="00F2449F" w:rsidRDefault="00717D17" w:rsidP="007B62B8">
      <w:pPr>
        <w:spacing w:line="480" w:lineRule="auto"/>
        <w:ind w:firstLine="720"/>
        <w:jc w:val="both"/>
        <w:rPr>
          <w:lang w:val="en-US"/>
        </w:rPr>
      </w:pPr>
      <w:r w:rsidRPr="00F2449F">
        <w:rPr>
          <w:lang w:val="en-US"/>
        </w:rPr>
        <w:t xml:space="preserve">By leveraging their networks, organizations can maximize the benefits of relationships and partnerships with other companies and stakeholders, learning from their different expertise, capabilities, and resources. As Gadde and Snehota (2000, p. 10) argued, “High-involvement relationships are liabilities”. The authors argue how developing and maintaining strong relationships with suppliers demands an investment of resources to adapt that can only be justified by comparable returns. Moreover, each relationship is unique and cannot be reproduced; therefore, the outcome is that adaptation investments are nontransferable to other relationships (Viio &amp; Grönroos, 2014), thereby making it pivotal for organizations to recognize and select the relationships they view as </w:t>
      </w:r>
      <w:r w:rsidRPr="00F2449F">
        <w:rPr>
          <w:lang w:val="en-US"/>
        </w:rPr>
        <w:lastRenderedPageBreak/>
        <w:t xml:space="preserve">being worthwhile for investment. While agreeing with the authors, we also demonstrate here that antifragile adaptation can help optimize the resources needed to establish relationships and encourage the co-existence of different relationships with varying degrees of involvement according to the strategic adaptation of an organization in each precise circumstance. From the antifragile adaptation perspective, the network perspective becomes even more pivotal and is framed according to the intent of organizations to proactively turn emergent and uncertain situations in business opportunities. It implies an accurate management and a balancing of strong and weak relationships, so as not to limit their ability to change and adapt their level of involvement and purpose for the sake of antifragility. </w:t>
      </w:r>
    </w:p>
    <w:p w14:paraId="00000227" w14:textId="77777777"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 xml:space="preserve">While discussing the enablers of antifragile adaptation, it is important to highlight how some scholars in this domain have examined the increment of complexity levels and thereby raises a key question. Are simpler solutions the most effective way to address this phenomenon, due to the impossibility of reducing uncertainty issues with just mere data collection (Gigerenzer, 2007; Guercini &amp; Lechner, 2021)? Managers may feel more confident by simplifying complexity and implementing analytic decision-making; however, they still may be exposing themselves to higher risks by not embracing complex dynamics and training themselves and their whole organization to work with complexity. </w:t>
      </w:r>
    </w:p>
    <w:p w14:paraId="00000228" w14:textId="77777777" w:rsidR="00985B1F" w:rsidRPr="00F2449F" w:rsidRDefault="00717D17" w:rsidP="007B62B8">
      <w:pPr>
        <w:pBdr>
          <w:top w:val="nil"/>
          <w:left w:val="nil"/>
          <w:bottom w:val="nil"/>
          <w:right w:val="nil"/>
          <w:between w:val="nil"/>
        </w:pBdr>
        <w:spacing w:line="480" w:lineRule="auto"/>
        <w:ind w:firstLine="720"/>
        <w:jc w:val="both"/>
        <w:rPr>
          <w:color w:val="000000"/>
          <w:lang w:val="en-US"/>
        </w:rPr>
      </w:pPr>
      <w:r w:rsidRPr="00F2449F">
        <w:rPr>
          <w:color w:val="000000"/>
          <w:lang w:val="en-US"/>
        </w:rPr>
        <w:t xml:space="preserve">Our study shows how simplifying complexity can be problematic and lead to managerial and organizational myopia (Chikudate, 2002). Past scholars have argued that one way of addressing organizational myopia is “organizational mindfulness” (Sutcliffe et al., 2016). This argument refers to closely monitoring failures (the organization’s own failures and the failures of other organizations), paying attention to frontline operations, and resisting the temptation to oversimplify the interpretations of events, by privileging expertise over hierarchy (Catino, 2013). We propose that a complexity-friendly approach that remains open to cross-cultural and cross-industry exchanges, while working dynamically to face high complexity, may be better equipped to thrive in the current business context. A similar approach to complexity should embrace continuous learning, innovation, and creativity and promote flexibility and inclusiveness. However, we also confirmed in this study that a </w:t>
      </w:r>
      <w:r w:rsidRPr="00F2449F">
        <w:rPr>
          <w:color w:val="000000"/>
          <w:lang w:val="en-US"/>
        </w:rPr>
        <w:lastRenderedPageBreak/>
        <w:t>strong knowledge of the global environment derived from the correct implementation of data analysis, is an unreplaceable companion of the complexity mindset.</w:t>
      </w:r>
    </w:p>
    <w:p w14:paraId="00000229" w14:textId="77777777" w:rsidR="00985B1F" w:rsidRPr="00F2449F" w:rsidRDefault="00717D17" w:rsidP="007B62B8">
      <w:pPr>
        <w:spacing w:line="480" w:lineRule="auto"/>
        <w:ind w:firstLine="720"/>
        <w:jc w:val="both"/>
        <w:rPr>
          <w:lang w:val="en-US"/>
        </w:rPr>
      </w:pPr>
      <w:r w:rsidRPr="00F2449F">
        <w:rPr>
          <w:lang w:val="en-US"/>
        </w:rPr>
        <w:t>Regarding perspective communication, Brennan and Turnbull (1999) suggest that to some extent the process of adaptation is completely silent (also known as “tacit adaptation”) and goes on unnoticed. It likely entails small and natural changes that require few resources to be leveraged. In the case of more complex adaptation needs, any key change is usually accompanied by a strong flow of communication and coordination (Canning &amp; Brennan, 2004). In this regard, our study shows that to achieve antifragile adaptation, understanding and acknowledging each individual’s perspectives through communication and coordination becomes particularly important (Silver &amp; Vegholm, 2009).</w:t>
      </w:r>
    </w:p>
    <w:p w14:paraId="0000022A" w14:textId="77777777" w:rsidR="00985B1F" w:rsidRPr="00F2449F" w:rsidRDefault="00717D17" w:rsidP="007B62B8">
      <w:pPr>
        <w:spacing w:line="480" w:lineRule="auto"/>
        <w:ind w:firstLine="720"/>
        <w:jc w:val="both"/>
        <w:rPr>
          <w:lang w:val="en-US"/>
        </w:rPr>
      </w:pPr>
      <w:r w:rsidRPr="00F2449F">
        <w:rPr>
          <w:lang w:val="en-US"/>
        </w:rPr>
        <w:t>We further argue that perspective communication, which involves a company's ability to communicate effectively and understand different perspectives within and across industries (including those of the stakeholders), is critical for antifragile adaptation, as doing so allows companies to share their knowledge and ideas, build relationships, and gain a better understanding of the broader network and the needs of all stakeholders (network enablement). Empowering employees works to benefit antifragile adaptation from the very core of the organization. The concept refers to a company's ability to provide employees with the autonomy, resources, and support necessary to take risks and to innovate. Empowered employees can and do respond quickly and effectively to changing circumstances.</w:t>
      </w:r>
    </w:p>
    <w:p w14:paraId="0000022B" w14:textId="77777777" w:rsidR="00985B1F" w:rsidRPr="00F2449F" w:rsidRDefault="00717D17" w:rsidP="007B62B8">
      <w:pPr>
        <w:spacing w:line="480" w:lineRule="auto"/>
        <w:ind w:firstLine="720"/>
        <w:jc w:val="both"/>
        <w:rPr>
          <w:lang w:val="en-US"/>
        </w:rPr>
      </w:pPr>
      <w:r w:rsidRPr="00F2449F">
        <w:rPr>
          <w:lang w:val="en-US"/>
        </w:rPr>
        <w:t xml:space="preserve"> As anticipated above, any successful orientation in complex environments requires both a complexity mindset and technological agility that can best be achieved by leveraging tools like artificial intelligence, automation, and advanced analytics. These technological capabilities can help companies collect, analyze, and leverage data more effectively, further enabling them to respond to uncertain and risky events more quickly and more accurately. Additionally, these capabilities can help companies automate routine tasks, freeing up other resources and allowing those resources to focus on more critical activities. This line of thought also considers the role played by the ICT in </w:t>
      </w:r>
      <w:r w:rsidRPr="00F2449F">
        <w:rPr>
          <w:lang w:val="en-US"/>
        </w:rPr>
        <w:lastRenderedPageBreak/>
        <w:t xml:space="preserve">enabling flexible and ubiquitous relationships between organizations (Murphy &amp; Sashi, 2018; Lin, Ho, &amp; Sambasivan, 2019). </w:t>
      </w:r>
    </w:p>
    <w:p w14:paraId="0000022C" w14:textId="77777777" w:rsidR="00985B1F" w:rsidRPr="00F2449F" w:rsidRDefault="00717D17" w:rsidP="007B62B8">
      <w:pPr>
        <w:spacing w:line="480" w:lineRule="auto"/>
        <w:ind w:firstLine="720"/>
        <w:jc w:val="both"/>
        <w:rPr>
          <w:lang w:val="en-US"/>
        </w:rPr>
      </w:pPr>
      <w:r w:rsidRPr="00F2449F">
        <w:rPr>
          <w:lang w:val="en-US"/>
        </w:rPr>
        <w:t>In this regard, algorithms, AI, and big data have a pivotal role to play for prediction (Voigts, 2020), environmental scanning, and knowledge enabling. Artificial intelligence and the new digital technologies have significantly impacted how adaptation practices are shaped, although this topic still suffers from having yet few academic contributions (Voigts, 2020). AI and other digital tools may need to be a fundamental adoption for companies that need to improve their environmental learning to spot positive adaptation and improvement opportunities. As previously discussed, extreme uncertainty cannot be cancelled by using tools alone, since information overload may not be the best solution for environmental complexity. However, together with other approaches and instruments, information may help build an organism that is viable in any uncertain environment (Voigts, 2020).</w:t>
      </w:r>
    </w:p>
    <w:p w14:paraId="0000022D" w14:textId="77777777" w:rsidR="00985B1F" w:rsidRPr="00F2449F" w:rsidRDefault="00717D17" w:rsidP="007B62B8">
      <w:pPr>
        <w:spacing w:line="480" w:lineRule="auto"/>
        <w:ind w:firstLine="720"/>
        <w:jc w:val="both"/>
        <w:rPr>
          <w:lang w:val="en-US"/>
        </w:rPr>
      </w:pPr>
      <w:r w:rsidRPr="00F2449F">
        <w:rPr>
          <w:lang w:val="en-US"/>
        </w:rPr>
        <w:t>The proposed model of antifragile adaptation appears to be a comprehensive and holistic approach to managing systemic uncertainty and the risks characterizing an environment where wars, pandemics, climate change issues, and related business dynamics are today creating new vulnerabilities that can currently at least never be completely resolved.</w:t>
      </w:r>
    </w:p>
    <w:p w14:paraId="0000022E" w14:textId="77777777" w:rsidR="00985B1F" w:rsidRPr="00F2449F" w:rsidRDefault="00985B1F" w:rsidP="007B62B8">
      <w:pPr>
        <w:spacing w:line="480" w:lineRule="auto"/>
        <w:ind w:firstLine="720"/>
        <w:jc w:val="both"/>
        <w:rPr>
          <w:lang w:val="en-US"/>
        </w:rPr>
      </w:pPr>
    </w:p>
    <w:p w14:paraId="0000022F" w14:textId="77777777" w:rsidR="00985B1F" w:rsidRPr="00F2449F" w:rsidRDefault="00717D17" w:rsidP="007B62B8">
      <w:pPr>
        <w:spacing w:line="480" w:lineRule="auto"/>
        <w:jc w:val="both"/>
        <w:rPr>
          <w:b/>
          <w:lang w:val="en-US"/>
        </w:rPr>
      </w:pPr>
      <w:r w:rsidRPr="00F2449F">
        <w:rPr>
          <w:b/>
          <w:lang w:val="en-US"/>
        </w:rPr>
        <w:t xml:space="preserve">6. Conclusions </w:t>
      </w:r>
    </w:p>
    <w:p w14:paraId="00000230" w14:textId="77777777" w:rsidR="00985B1F" w:rsidRPr="00F2449F" w:rsidRDefault="00717D17" w:rsidP="007B62B8">
      <w:pPr>
        <w:spacing w:line="480" w:lineRule="auto"/>
        <w:ind w:firstLine="720"/>
        <w:jc w:val="both"/>
        <w:rPr>
          <w:lang w:val="en-US"/>
        </w:rPr>
      </w:pPr>
      <w:r w:rsidRPr="00F2449F">
        <w:rPr>
          <w:lang w:val="en-US"/>
        </w:rPr>
        <w:t xml:space="preserve">This study introduces a comprehensive model of antifragile adaptation, presenting a holistic approach to managing uncertainty within the dynamic contexts faced by B2B enterprises today. By contributing to the ongoing discourse surrounding adaptation in persistently uncertain conditions, our research bridges the existing body of literature on organizational adaptation with the emerging concept of antifragility. </w:t>
      </w:r>
    </w:p>
    <w:p w14:paraId="00000231" w14:textId="77777777" w:rsidR="00985B1F" w:rsidRPr="00F2449F" w:rsidRDefault="00717D17" w:rsidP="007B62B8">
      <w:pPr>
        <w:spacing w:line="480" w:lineRule="auto"/>
        <w:ind w:firstLine="720"/>
        <w:jc w:val="both"/>
        <w:rPr>
          <w:lang w:val="en-US"/>
        </w:rPr>
      </w:pPr>
      <w:r w:rsidRPr="00F2449F">
        <w:rPr>
          <w:lang w:val="en-US"/>
        </w:rPr>
        <w:t xml:space="preserve">Our study yields several noteworthy contributions. Firstly, it illuminates the significance of antifragility in adapting to contemporary environments where unpredictable events and crises have become the norm rather than exceptions. Secondly, it pinpoints the key antecedents for implementing this novel form of adaptation, leveraging relationships within a network while concurrently </w:t>
      </w:r>
      <w:r w:rsidRPr="00F2449F">
        <w:rPr>
          <w:lang w:val="en-US"/>
        </w:rPr>
        <w:lastRenderedPageBreak/>
        <w:t xml:space="preserve">maximizing the utilization of existing resources and the exploration of fresh opportunities. Furthermore, our research identifies the key factors enabling this new type of adaptation, encompassing specific organizational capabilities alongside cutting-edge technology. This integration of human and technological elements forms the foundation for enhancing antifragile adaptation, enabling organizations to not only endure but flourish amidst uncertainty. </w:t>
      </w:r>
    </w:p>
    <w:p w14:paraId="00000232" w14:textId="77777777" w:rsidR="00985B1F" w:rsidRPr="00F2449F" w:rsidRDefault="00717D17" w:rsidP="007B62B8">
      <w:pPr>
        <w:spacing w:line="480" w:lineRule="auto"/>
        <w:ind w:firstLine="720"/>
        <w:jc w:val="both"/>
        <w:rPr>
          <w:b/>
          <w:lang w:val="en-US"/>
        </w:rPr>
      </w:pPr>
      <w:r w:rsidRPr="00F2449F">
        <w:rPr>
          <w:lang w:val="en-US"/>
        </w:rPr>
        <w:t>Additionally, our study emphasizes the need for a balanced approach, harmonizing the utilization of internal resources with the exploration of innovative alternatives, all while maintaining a focus on optimizing both the network and the organization's capabilities and technological prowess. Recognizing the dynamics behind cultivating a complexity-oriented mindset, promoting effective communication, and empowering employees can furnish crucial support for companies striving to pursue antifragile adaptation.</w:t>
      </w:r>
    </w:p>
    <w:p w14:paraId="378C456A" w14:textId="77777777" w:rsidR="005573E0" w:rsidRPr="00F2449F" w:rsidRDefault="005573E0" w:rsidP="007B62B8">
      <w:pPr>
        <w:spacing w:line="480" w:lineRule="auto"/>
        <w:jc w:val="both"/>
        <w:rPr>
          <w:b/>
          <w:lang w:val="en-US"/>
        </w:rPr>
      </w:pPr>
    </w:p>
    <w:p w14:paraId="00000233" w14:textId="630E52D3" w:rsidR="00985B1F" w:rsidRPr="00F2449F" w:rsidRDefault="00717D17" w:rsidP="007B62B8">
      <w:pPr>
        <w:spacing w:line="480" w:lineRule="auto"/>
        <w:jc w:val="both"/>
        <w:rPr>
          <w:b/>
          <w:lang w:val="en-US"/>
        </w:rPr>
      </w:pPr>
      <w:r w:rsidRPr="00F2449F">
        <w:rPr>
          <w:b/>
          <w:lang w:val="en-US"/>
        </w:rPr>
        <w:t>6.1. Managerial Implications</w:t>
      </w:r>
    </w:p>
    <w:p w14:paraId="00000234" w14:textId="77777777" w:rsidR="00985B1F" w:rsidRPr="00F2449F" w:rsidRDefault="00717D17" w:rsidP="007B62B8">
      <w:pPr>
        <w:spacing w:line="480" w:lineRule="auto"/>
        <w:ind w:firstLine="720"/>
        <w:jc w:val="both"/>
        <w:rPr>
          <w:lang w:val="en-US"/>
        </w:rPr>
      </w:pPr>
      <w:r w:rsidRPr="00F2449F">
        <w:rPr>
          <w:lang w:val="en-US"/>
        </w:rPr>
        <w:t>The essence of managerial activities has perennially encompassed a measure of uncertainty and risk. Nevertheless, recent disruptions, notably the Covid-19 pandemic, have amplified the perception that uncertainty and risk constitute a more enduring facet of both organizations and a society characterized by swift and capricious shifts. In our investigation, industry professionals' firsthand experiences and viewpoints provided tangible illustrations of navigating business within a systematically uncertain milieu. Here, organizations must acclimate to intricate contexts to uphold their competitive edge and organizational efficacy. The outcomes of our study intimate that devising a model for antifragile adaptation can serve as a guiding framework for companies endeavoring to navigate this as yet unpredictable terrain.</w:t>
      </w:r>
    </w:p>
    <w:p w14:paraId="00000235" w14:textId="77777777" w:rsidR="00985B1F" w:rsidRPr="00F2449F" w:rsidRDefault="00717D17" w:rsidP="007B62B8">
      <w:pPr>
        <w:spacing w:line="480" w:lineRule="auto"/>
        <w:ind w:firstLine="720"/>
        <w:jc w:val="both"/>
        <w:rPr>
          <w:lang w:val="en-US"/>
        </w:rPr>
      </w:pPr>
      <w:r w:rsidRPr="00F2449F">
        <w:rPr>
          <w:lang w:val="en-US"/>
        </w:rPr>
        <w:t xml:space="preserve">The model proposed in this study stands out for its fusion of both relational and managerial standpoints, delineating a comprehensive array of capacities and tools that span from the organizational culture and mindset to interfacing with technology and instruments being embraced. Concretely, the model pinpoints the capacities that organizations ought to cultivate to optimize the </w:t>
      </w:r>
      <w:r w:rsidRPr="00F2449F">
        <w:rPr>
          <w:lang w:val="en-US"/>
        </w:rPr>
        <w:lastRenderedPageBreak/>
        <w:t>potential advantages in their risk-laden environment, namely, a complexity-oriented mindset, adept communication skills, and an understanding of the diverse perspectives necessary to empower their workforce. These competencies may assist organizations in comprehending intricate systems and occurrences, communicating more effectively with stakeholders, and fostering a culture of innovation that welcomes both heightened transparency and a propensity for taking calculated risks. This approach may also avert an overreliance on existing capacities, thereby engendering the cultivation of novel skills to adapt more adeptly to shifting circumstances and identify yet further opportunities for enhancement.</w:t>
      </w:r>
    </w:p>
    <w:p w14:paraId="00000236" w14:textId="1B4FC867" w:rsidR="00985B1F" w:rsidRPr="00F2449F" w:rsidRDefault="00717D17" w:rsidP="007B62B8">
      <w:pPr>
        <w:spacing w:line="480" w:lineRule="auto"/>
        <w:ind w:firstLine="720"/>
        <w:jc w:val="both"/>
        <w:rPr>
          <w:lang w:val="en-US"/>
        </w:rPr>
      </w:pPr>
      <w:r w:rsidRPr="00F2449F">
        <w:rPr>
          <w:lang w:val="en-US"/>
        </w:rPr>
        <w:t>Artificial intelligence and emergent digital technologies have exerted a significant influence on the contours of adaptation practices, notwithstanding the current constraint in academic contributions to this domain (Voigts, 2020). AI and other digital tools, however, hold the potential to be pivotal in augmenting an organization's capacity for environmental learning, thereby facilitating the discernment of adaptation and enhancement prospects. By amalgamating the human and technological facets of antifragile adaptation, novel training initiatives can be formulated that draw on real-life instances, simulations, and experiments, while harnessing the contributions of AI to effectuate real-time adjustments and unearth patterns that may subsequently be replicated successfully in future endeavors for proficient uncertainty management and ongoing organizational enhancement.</w:t>
      </w:r>
    </w:p>
    <w:p w14:paraId="5EC7E98A" w14:textId="77777777" w:rsidR="005573E0" w:rsidRPr="00F2449F" w:rsidRDefault="005573E0" w:rsidP="007B62B8">
      <w:pPr>
        <w:spacing w:line="480" w:lineRule="auto"/>
        <w:ind w:firstLine="720"/>
        <w:jc w:val="both"/>
        <w:rPr>
          <w:lang w:val="en-US"/>
        </w:rPr>
      </w:pPr>
    </w:p>
    <w:p w14:paraId="00000237" w14:textId="77777777" w:rsidR="00985B1F" w:rsidRPr="00F2449F" w:rsidRDefault="00717D17" w:rsidP="007B62B8">
      <w:pPr>
        <w:spacing w:line="480" w:lineRule="auto"/>
        <w:jc w:val="both"/>
        <w:rPr>
          <w:b/>
          <w:lang w:val="en-US"/>
        </w:rPr>
      </w:pPr>
      <w:r w:rsidRPr="00F2449F">
        <w:rPr>
          <w:b/>
          <w:lang w:val="en-US"/>
        </w:rPr>
        <w:t>6.2. Limitations and Future Research</w:t>
      </w:r>
    </w:p>
    <w:p w14:paraId="00000238" w14:textId="5D78C7BF" w:rsidR="00985B1F" w:rsidRPr="00F2449F" w:rsidRDefault="00717D17" w:rsidP="00DA2B3F">
      <w:pPr>
        <w:spacing w:line="480" w:lineRule="auto"/>
        <w:ind w:firstLine="720"/>
        <w:jc w:val="both"/>
        <w:rPr>
          <w:lang w:val="en-US"/>
        </w:rPr>
      </w:pPr>
      <w:r w:rsidRPr="00F2449F">
        <w:rPr>
          <w:lang w:val="en-US"/>
        </w:rPr>
        <w:t xml:space="preserve">This study is subject to certain limitations. Firstly, the antifragile adaptation model proposed herein lacks empirical validation, suggesting an avenue for future research to address a potential lacuna in its practical application. Secondly, the study underscores technological agility as a pivotal facilitator of antifragile adaptation, yet it does not account for disparities in access to comparable </w:t>
      </w:r>
      <w:r w:rsidR="00C35DA2" w:rsidRPr="00F2449F">
        <w:rPr>
          <w:lang w:val="en-US"/>
        </w:rPr>
        <w:t>technologies and</w:t>
      </w:r>
      <w:r w:rsidRPr="00F2449F">
        <w:rPr>
          <w:lang w:val="en-US"/>
        </w:rPr>
        <w:t xml:space="preserve"> acknowledges that certain industries may encounter challenges in leveraging equivalent tools or accessing information in a similar manner.</w:t>
      </w:r>
    </w:p>
    <w:p w14:paraId="00000239" w14:textId="77777777" w:rsidR="00985B1F" w:rsidRPr="00F2449F" w:rsidRDefault="00717D17" w:rsidP="00DA2B3F">
      <w:pPr>
        <w:spacing w:line="480" w:lineRule="auto"/>
        <w:ind w:firstLine="720"/>
        <w:jc w:val="both"/>
        <w:rPr>
          <w:lang w:val="en-US"/>
        </w:rPr>
      </w:pPr>
      <w:r w:rsidRPr="00F2449F">
        <w:rPr>
          <w:lang w:val="en-US"/>
        </w:rPr>
        <w:lastRenderedPageBreak/>
        <w:t>Furthermore, the model presupposes that organizations can fully cultivate the capabilities set forth and foster the antecedents outlined by the antifragile adaptation perspective. Consequently, this process of adaptation may necessitate a substantial allocation of initial resources and restructuring endeavors, conceivably imperiling organizational stability in the inaugural phase. Future research could probe more deeply into the requisite resource allocation for the effective implementation of antifragile adaptation in B2B enterprises.</w:t>
      </w:r>
    </w:p>
    <w:p w14:paraId="0000023A" w14:textId="77777777" w:rsidR="00985B1F" w:rsidRPr="00F2449F" w:rsidRDefault="00985B1F" w:rsidP="007B62B8">
      <w:pPr>
        <w:spacing w:line="480" w:lineRule="auto"/>
        <w:jc w:val="both"/>
        <w:rPr>
          <w:lang w:val="en-US"/>
        </w:rPr>
      </w:pPr>
    </w:p>
    <w:p w14:paraId="0000023B" w14:textId="77777777" w:rsidR="00985B1F" w:rsidRPr="00F2449F" w:rsidRDefault="00985B1F" w:rsidP="007B62B8">
      <w:pPr>
        <w:spacing w:line="480" w:lineRule="auto"/>
        <w:jc w:val="both"/>
        <w:rPr>
          <w:lang w:val="en-US"/>
        </w:rPr>
      </w:pPr>
    </w:p>
    <w:p w14:paraId="0000023C" w14:textId="77777777" w:rsidR="00985B1F" w:rsidRPr="00F2449F" w:rsidRDefault="00985B1F" w:rsidP="007B62B8">
      <w:pPr>
        <w:spacing w:line="480" w:lineRule="auto"/>
        <w:jc w:val="both"/>
        <w:rPr>
          <w:lang w:val="en-US"/>
        </w:rPr>
      </w:pPr>
    </w:p>
    <w:p w14:paraId="0000023D" w14:textId="36572FF8" w:rsidR="00985B1F" w:rsidRPr="00F2449F" w:rsidRDefault="00985B1F" w:rsidP="007B62B8">
      <w:pPr>
        <w:spacing w:line="480" w:lineRule="auto"/>
        <w:jc w:val="both"/>
        <w:rPr>
          <w:lang w:val="en-US"/>
        </w:rPr>
      </w:pPr>
    </w:p>
    <w:p w14:paraId="7AE1390C" w14:textId="77777777" w:rsidR="009C718E" w:rsidRPr="00F2449F" w:rsidRDefault="009C718E" w:rsidP="007B62B8">
      <w:pPr>
        <w:spacing w:line="480" w:lineRule="auto"/>
        <w:jc w:val="both"/>
        <w:rPr>
          <w:b/>
          <w:lang w:val="en-US"/>
        </w:rPr>
      </w:pPr>
    </w:p>
    <w:p w14:paraId="67488A94" w14:textId="77777777" w:rsidR="009C718E" w:rsidRPr="00F2449F" w:rsidRDefault="009C718E" w:rsidP="007B62B8">
      <w:pPr>
        <w:spacing w:line="480" w:lineRule="auto"/>
        <w:jc w:val="both"/>
        <w:rPr>
          <w:b/>
          <w:lang w:val="en-US"/>
        </w:rPr>
      </w:pPr>
    </w:p>
    <w:p w14:paraId="4667895A" w14:textId="77777777" w:rsidR="009C718E" w:rsidRPr="00F2449F" w:rsidRDefault="009C718E" w:rsidP="007B62B8">
      <w:pPr>
        <w:spacing w:line="480" w:lineRule="auto"/>
        <w:jc w:val="both"/>
        <w:rPr>
          <w:b/>
          <w:lang w:val="en-US"/>
        </w:rPr>
      </w:pPr>
    </w:p>
    <w:p w14:paraId="48E39F97" w14:textId="77777777" w:rsidR="009C718E" w:rsidRPr="00F2449F" w:rsidRDefault="009C718E" w:rsidP="007B62B8">
      <w:pPr>
        <w:spacing w:line="480" w:lineRule="auto"/>
        <w:jc w:val="both"/>
        <w:rPr>
          <w:b/>
          <w:lang w:val="en-US"/>
        </w:rPr>
      </w:pPr>
    </w:p>
    <w:p w14:paraId="2480B8FC" w14:textId="77777777" w:rsidR="009C718E" w:rsidRPr="00F2449F" w:rsidRDefault="009C718E" w:rsidP="007B62B8">
      <w:pPr>
        <w:spacing w:line="480" w:lineRule="auto"/>
        <w:jc w:val="both"/>
        <w:rPr>
          <w:b/>
          <w:lang w:val="en-US"/>
        </w:rPr>
      </w:pPr>
    </w:p>
    <w:p w14:paraId="73544695" w14:textId="77777777" w:rsidR="009C718E" w:rsidRPr="00F2449F" w:rsidRDefault="009C718E" w:rsidP="007B62B8">
      <w:pPr>
        <w:spacing w:line="480" w:lineRule="auto"/>
        <w:jc w:val="both"/>
        <w:rPr>
          <w:b/>
          <w:lang w:val="en-US"/>
        </w:rPr>
      </w:pPr>
    </w:p>
    <w:p w14:paraId="310FAD5B" w14:textId="77777777" w:rsidR="009C718E" w:rsidRPr="00F2449F" w:rsidRDefault="009C718E" w:rsidP="007B62B8">
      <w:pPr>
        <w:spacing w:line="480" w:lineRule="auto"/>
        <w:jc w:val="both"/>
        <w:rPr>
          <w:b/>
          <w:lang w:val="en-US"/>
        </w:rPr>
      </w:pPr>
    </w:p>
    <w:p w14:paraId="0B63F692" w14:textId="77777777" w:rsidR="009C718E" w:rsidRPr="00F2449F" w:rsidRDefault="009C718E" w:rsidP="007B62B8">
      <w:pPr>
        <w:spacing w:line="480" w:lineRule="auto"/>
        <w:jc w:val="both"/>
        <w:rPr>
          <w:b/>
          <w:lang w:val="en-US"/>
        </w:rPr>
      </w:pPr>
    </w:p>
    <w:p w14:paraId="637FE411" w14:textId="77777777" w:rsidR="009C718E" w:rsidRPr="00F2449F" w:rsidRDefault="009C718E" w:rsidP="007B62B8">
      <w:pPr>
        <w:spacing w:line="480" w:lineRule="auto"/>
        <w:jc w:val="both"/>
        <w:rPr>
          <w:b/>
          <w:lang w:val="en-US"/>
        </w:rPr>
      </w:pPr>
    </w:p>
    <w:p w14:paraId="63FF89A7" w14:textId="77777777" w:rsidR="009C718E" w:rsidRPr="00F2449F" w:rsidRDefault="009C718E" w:rsidP="007B62B8">
      <w:pPr>
        <w:spacing w:line="480" w:lineRule="auto"/>
        <w:jc w:val="both"/>
        <w:rPr>
          <w:b/>
          <w:lang w:val="en-US"/>
        </w:rPr>
      </w:pPr>
    </w:p>
    <w:p w14:paraId="7B432E60" w14:textId="77777777" w:rsidR="009C718E" w:rsidRPr="00F2449F" w:rsidRDefault="009C718E" w:rsidP="007B62B8">
      <w:pPr>
        <w:spacing w:line="480" w:lineRule="auto"/>
        <w:jc w:val="both"/>
        <w:rPr>
          <w:b/>
          <w:lang w:val="en-US"/>
        </w:rPr>
      </w:pPr>
    </w:p>
    <w:p w14:paraId="37F99F8C" w14:textId="77777777" w:rsidR="009C718E" w:rsidRPr="00F2449F" w:rsidRDefault="009C718E" w:rsidP="007B62B8">
      <w:pPr>
        <w:spacing w:line="480" w:lineRule="auto"/>
        <w:jc w:val="both"/>
        <w:rPr>
          <w:b/>
          <w:lang w:val="en-US"/>
        </w:rPr>
      </w:pPr>
    </w:p>
    <w:p w14:paraId="59226D05" w14:textId="77777777" w:rsidR="009C718E" w:rsidRPr="00F2449F" w:rsidRDefault="009C718E" w:rsidP="007B62B8">
      <w:pPr>
        <w:spacing w:line="480" w:lineRule="auto"/>
        <w:jc w:val="both"/>
        <w:rPr>
          <w:b/>
          <w:lang w:val="en-US"/>
        </w:rPr>
      </w:pPr>
    </w:p>
    <w:p w14:paraId="2D9DA515" w14:textId="6D4AE39E" w:rsidR="009C718E" w:rsidRPr="00F2449F" w:rsidRDefault="009C718E" w:rsidP="007B62B8">
      <w:pPr>
        <w:spacing w:line="480" w:lineRule="auto"/>
        <w:jc w:val="both"/>
        <w:rPr>
          <w:b/>
          <w:lang w:val="en-US"/>
        </w:rPr>
      </w:pPr>
    </w:p>
    <w:p w14:paraId="6D0B0521" w14:textId="5AD0B002" w:rsidR="00F516D2" w:rsidRPr="00F2449F" w:rsidRDefault="00F516D2" w:rsidP="007B62B8">
      <w:pPr>
        <w:spacing w:line="480" w:lineRule="auto"/>
        <w:jc w:val="both"/>
        <w:rPr>
          <w:b/>
          <w:lang w:val="en-US"/>
        </w:rPr>
      </w:pPr>
    </w:p>
    <w:p w14:paraId="12FD21A8" w14:textId="1400F736" w:rsidR="00F516D2" w:rsidRPr="00F2449F" w:rsidRDefault="00F516D2" w:rsidP="007B62B8">
      <w:pPr>
        <w:spacing w:line="480" w:lineRule="auto"/>
        <w:jc w:val="both"/>
        <w:rPr>
          <w:b/>
          <w:lang w:val="en-US"/>
        </w:rPr>
      </w:pPr>
    </w:p>
    <w:p w14:paraId="0418898B" w14:textId="3C615271" w:rsidR="00F516D2" w:rsidRPr="00F2449F" w:rsidRDefault="00F516D2" w:rsidP="007B62B8">
      <w:pPr>
        <w:spacing w:line="480" w:lineRule="auto"/>
        <w:jc w:val="both"/>
        <w:rPr>
          <w:b/>
          <w:lang w:val="en-US"/>
        </w:rPr>
      </w:pPr>
    </w:p>
    <w:p w14:paraId="7CA494AF" w14:textId="77777777" w:rsidR="00F516D2" w:rsidRPr="00F2449F" w:rsidRDefault="00F516D2" w:rsidP="007B62B8">
      <w:pPr>
        <w:spacing w:line="480" w:lineRule="auto"/>
        <w:jc w:val="both"/>
        <w:rPr>
          <w:b/>
          <w:lang w:val="en-US"/>
        </w:rPr>
      </w:pPr>
    </w:p>
    <w:p w14:paraId="1E433E90" w14:textId="77777777" w:rsidR="009C718E" w:rsidRPr="00F2449F" w:rsidRDefault="009C718E" w:rsidP="007B62B8">
      <w:pPr>
        <w:spacing w:line="480" w:lineRule="auto"/>
        <w:jc w:val="both"/>
        <w:rPr>
          <w:b/>
          <w:lang w:val="en-US"/>
        </w:rPr>
      </w:pPr>
    </w:p>
    <w:p w14:paraId="37168BEB" w14:textId="77777777" w:rsidR="009C718E" w:rsidRPr="00F2449F" w:rsidRDefault="009C718E" w:rsidP="007B62B8">
      <w:pPr>
        <w:spacing w:line="480" w:lineRule="auto"/>
        <w:jc w:val="both"/>
        <w:rPr>
          <w:b/>
          <w:lang w:val="en-US"/>
        </w:rPr>
      </w:pPr>
    </w:p>
    <w:p w14:paraId="0000023E" w14:textId="14C3D030" w:rsidR="00985B1F" w:rsidRPr="00F2449F" w:rsidRDefault="009C718E" w:rsidP="007B62B8">
      <w:pPr>
        <w:spacing w:line="480" w:lineRule="auto"/>
        <w:jc w:val="both"/>
        <w:rPr>
          <w:b/>
          <w:lang w:val="en-US"/>
        </w:rPr>
      </w:pPr>
      <w:r w:rsidRPr="00F2449F">
        <w:rPr>
          <w:b/>
          <w:lang w:val="en-US"/>
        </w:rPr>
        <w:t>References</w:t>
      </w:r>
    </w:p>
    <w:p w14:paraId="5A86EC36" w14:textId="77777777" w:rsidR="007D760F" w:rsidRPr="00F2449F" w:rsidRDefault="000315C5" w:rsidP="007B62B8">
      <w:pPr>
        <w:spacing w:line="480" w:lineRule="auto"/>
        <w:ind w:hanging="284"/>
        <w:jc w:val="both"/>
        <w:rPr>
          <w:shd w:val="clear" w:color="auto" w:fill="FCFCFC"/>
          <w:lang w:val="en-US"/>
        </w:rPr>
      </w:pPr>
      <w:sdt>
        <w:sdtPr>
          <w:rPr>
            <w:lang w:val="en-US"/>
          </w:rPr>
          <w:tag w:val="goog_rdk_5"/>
          <w:id w:val="1599215977"/>
        </w:sdtPr>
        <w:sdtEndPr/>
        <w:sdtContent/>
      </w:sdt>
      <w:r w:rsidR="00717D17" w:rsidRPr="00F2449F">
        <w:rPr>
          <w:color w:val="000000"/>
          <w:lang w:val="en-US"/>
        </w:rPr>
        <w:t xml:space="preserve"> </w:t>
      </w:r>
      <w:r w:rsidR="007D760F" w:rsidRPr="00F2449F">
        <w:rPr>
          <w:lang w:val="en-US"/>
        </w:rPr>
        <w:t xml:space="preserve">Al-Dahash, H., Thayaparan, M. &amp; Kulatunga, U. (2016). Understanding the terminologies: Disaster, crisis and emergency. </w:t>
      </w:r>
      <w:r w:rsidR="007D760F" w:rsidRPr="00F2449F">
        <w:rPr>
          <w:i/>
          <w:lang w:val="en-US"/>
        </w:rPr>
        <w:t>Association of Researchers in Construction Management (ARCOM)</w:t>
      </w:r>
      <w:r w:rsidR="007D760F" w:rsidRPr="00F2449F">
        <w:rPr>
          <w:lang w:val="en-US"/>
        </w:rPr>
        <w:t>. Manchester, 05-07 September 2016, 1191–1200.</w:t>
      </w:r>
    </w:p>
    <w:p w14:paraId="0520B52E" w14:textId="77777777" w:rsidR="007D760F" w:rsidRPr="00F2449F" w:rsidRDefault="007D760F" w:rsidP="007B62B8">
      <w:pPr>
        <w:spacing w:line="480" w:lineRule="auto"/>
        <w:ind w:hanging="284"/>
        <w:jc w:val="both"/>
        <w:rPr>
          <w:lang w:val="en-US"/>
        </w:rPr>
      </w:pPr>
      <w:r w:rsidRPr="00F2449F">
        <w:rPr>
          <w:shd w:val="clear" w:color="auto" w:fill="FFFFFF"/>
          <w:lang w:val="en-US"/>
        </w:rPr>
        <w:t xml:space="preserve">Alalwan, A. A., </w:t>
      </w:r>
      <w:r w:rsidRPr="00F2449F">
        <w:rPr>
          <w:lang w:val="en-US"/>
        </w:rPr>
        <w:t>Baabdullah, A. M., Dwivedi, Y. K., Rana, N. P., Lal, B., &amp; Ramakrishnan Raman, R. (</w:t>
      </w:r>
      <w:r w:rsidRPr="00F2449F">
        <w:rPr>
          <w:shd w:val="clear" w:color="auto" w:fill="FFFFFF"/>
          <w:lang w:val="en-US"/>
        </w:rPr>
        <w:t xml:space="preserve">2021). </w:t>
      </w:r>
      <w:r w:rsidRPr="00F2449F">
        <w:rPr>
          <w:lang w:val="en-US"/>
        </w:rPr>
        <w:t xml:space="preserve">Et-moone and marketing relationship governance: The effect of digital transformation and ICT during the COVID-19 pandemic. </w:t>
      </w:r>
      <w:r w:rsidRPr="00F2449F">
        <w:rPr>
          <w:i/>
          <w:lang w:val="en-US"/>
        </w:rPr>
        <w:t>Industrial Marketing Management, 98</w:t>
      </w:r>
      <w:r w:rsidRPr="00F2449F">
        <w:rPr>
          <w:lang w:val="en-US"/>
        </w:rPr>
        <w:t>, 241–254.</w:t>
      </w:r>
    </w:p>
    <w:p w14:paraId="52D345DB" w14:textId="77777777" w:rsidR="007D760F" w:rsidRPr="00F2449F" w:rsidRDefault="007D760F" w:rsidP="007B62B8">
      <w:pPr>
        <w:spacing w:line="480" w:lineRule="auto"/>
        <w:ind w:hanging="284"/>
        <w:jc w:val="both"/>
        <w:rPr>
          <w:shd w:val="clear" w:color="auto" w:fill="FFFFFF"/>
          <w:lang w:val="en-US"/>
        </w:rPr>
      </w:pPr>
      <w:r w:rsidRPr="00F2449F">
        <w:rPr>
          <w:shd w:val="clear" w:color="auto" w:fill="FFFFFF"/>
          <w:lang w:val="en-US"/>
        </w:rPr>
        <w:t xml:space="preserve">Anderson, P. &amp; Tushman, M. (2001). Organizational environments and industry exit: the effects of uncertainty, munificence and complexity. </w:t>
      </w:r>
      <w:r w:rsidRPr="00F2449F">
        <w:rPr>
          <w:i/>
          <w:shd w:val="clear" w:color="auto" w:fill="FFFFFF"/>
          <w:lang w:val="en-US"/>
        </w:rPr>
        <w:t>Industrial and Corporate Change</w:t>
      </w:r>
      <w:r w:rsidRPr="00F2449F">
        <w:rPr>
          <w:shd w:val="clear" w:color="auto" w:fill="FFFFFF"/>
          <w:lang w:val="en-US"/>
        </w:rPr>
        <w:t xml:space="preserve">, </w:t>
      </w:r>
      <w:r w:rsidRPr="00F2449F">
        <w:rPr>
          <w:i/>
          <w:shd w:val="clear" w:color="auto" w:fill="FFFFFF"/>
          <w:lang w:val="en-US"/>
        </w:rPr>
        <w:t>10</w:t>
      </w:r>
      <w:r w:rsidRPr="00F2449F">
        <w:rPr>
          <w:shd w:val="clear" w:color="auto" w:fill="FFFFFF"/>
          <w:lang w:val="en-US"/>
        </w:rPr>
        <w:t>, 675</w:t>
      </w:r>
      <w:r w:rsidRPr="00F2449F">
        <w:rPr>
          <w:shd w:val="clear" w:color="auto" w:fill="FCFCFC"/>
          <w:lang w:val="en-US"/>
        </w:rPr>
        <w:t>–</w:t>
      </w:r>
      <w:r w:rsidRPr="00F2449F">
        <w:rPr>
          <w:shd w:val="clear" w:color="auto" w:fill="FFFFFF"/>
          <w:lang w:val="en-US"/>
        </w:rPr>
        <w:t>711.</w:t>
      </w:r>
    </w:p>
    <w:p w14:paraId="0E2BB97B" w14:textId="77777777" w:rsidR="007D760F" w:rsidRPr="00F2449F" w:rsidRDefault="007D760F" w:rsidP="007B62B8">
      <w:pPr>
        <w:spacing w:line="480" w:lineRule="auto"/>
        <w:ind w:hanging="284"/>
        <w:jc w:val="both"/>
        <w:rPr>
          <w:shd w:val="clear" w:color="auto" w:fill="FFFFFF"/>
          <w:lang w:val="en-US"/>
        </w:rPr>
      </w:pPr>
      <w:r w:rsidRPr="00F2449F">
        <w:rPr>
          <w:shd w:val="clear" w:color="auto" w:fill="FCFCFC"/>
          <w:lang w:val="en-US"/>
        </w:rPr>
        <w:t xml:space="preserve">Aven, T. (2017). A conceptual foundation for assessing and managing risk, surprises and black swans. In: G. Motet &amp; C. Bieder, (eds), </w:t>
      </w:r>
      <w:r w:rsidRPr="00F2449F">
        <w:rPr>
          <w:i/>
          <w:shd w:val="clear" w:color="auto" w:fill="FCFCFC"/>
          <w:lang w:val="en-US"/>
        </w:rPr>
        <w:t>The illusion of risk control. Springerbriefs in applied sciences and technology</w:t>
      </w:r>
      <w:r w:rsidRPr="00F2449F">
        <w:rPr>
          <w:shd w:val="clear" w:color="auto" w:fill="FCFCFC"/>
          <w:lang w:val="en-US"/>
        </w:rPr>
        <w:t>, 23</w:t>
      </w:r>
      <w:r w:rsidRPr="00F2449F">
        <w:rPr>
          <w:lang w:val="en-US"/>
        </w:rPr>
        <w:t>–</w:t>
      </w:r>
      <w:r w:rsidRPr="00F2449F">
        <w:rPr>
          <w:shd w:val="clear" w:color="auto" w:fill="FCFCFC"/>
          <w:lang w:val="en-US"/>
        </w:rPr>
        <w:t>39, Cham: Springer.</w:t>
      </w:r>
    </w:p>
    <w:p w14:paraId="3E774BC5" w14:textId="77777777" w:rsidR="007D760F" w:rsidRPr="00F2449F" w:rsidRDefault="007D760F" w:rsidP="007B62B8">
      <w:pPr>
        <w:spacing w:line="480" w:lineRule="auto"/>
        <w:ind w:hanging="284"/>
        <w:jc w:val="both"/>
        <w:rPr>
          <w:shd w:val="clear" w:color="auto" w:fill="FFFFFF"/>
          <w:lang w:val="en-US"/>
        </w:rPr>
      </w:pPr>
      <w:r w:rsidRPr="00F2449F">
        <w:rPr>
          <w:lang w:val="en-US"/>
        </w:rPr>
        <w:t>Balslev Munksgaard, K., &amp; Medlin, C. J. (2014). Self- and collective-interests: Using formal network activities for developing firms' business</w:t>
      </w:r>
      <w:r w:rsidRPr="00F2449F">
        <w:rPr>
          <w:i/>
          <w:lang w:val="en-US"/>
        </w:rPr>
        <w:t>. Industrial Marketing Management</w:t>
      </w:r>
      <w:r w:rsidRPr="00F2449F">
        <w:rPr>
          <w:lang w:val="en-US"/>
        </w:rPr>
        <w:t xml:space="preserve">, </w:t>
      </w:r>
      <w:r w:rsidRPr="00F2449F">
        <w:rPr>
          <w:i/>
          <w:lang w:val="en-US"/>
        </w:rPr>
        <w:t>43</w:t>
      </w:r>
      <w:r w:rsidRPr="00F2449F">
        <w:rPr>
          <w:lang w:val="en-US"/>
        </w:rPr>
        <w:t>(4), 613–621.</w:t>
      </w:r>
    </w:p>
    <w:p w14:paraId="01A2A53A" w14:textId="77777777" w:rsidR="007D760F" w:rsidRPr="00F2449F" w:rsidRDefault="007D760F" w:rsidP="007B62B8">
      <w:pPr>
        <w:spacing w:line="480" w:lineRule="auto"/>
        <w:ind w:hanging="284"/>
        <w:jc w:val="both"/>
        <w:rPr>
          <w:lang w:val="en-US"/>
        </w:rPr>
      </w:pPr>
      <w:r w:rsidRPr="00F2449F">
        <w:rPr>
          <w:lang w:val="en-US"/>
        </w:rPr>
        <w:t xml:space="preserve">Barasa, E., Mbau, R., &amp; Gilson, L. (2018). What is resilience and how can it be nurtured? A systematic review of empirical literature on organizational resilience. </w:t>
      </w:r>
      <w:r w:rsidRPr="00F2449F">
        <w:rPr>
          <w:i/>
          <w:lang w:val="en-US"/>
        </w:rPr>
        <w:t>International Journal of Health Policy and Management</w:t>
      </w:r>
      <w:r w:rsidRPr="00F2449F">
        <w:rPr>
          <w:lang w:val="en-US"/>
        </w:rPr>
        <w:t xml:space="preserve">, </w:t>
      </w:r>
      <w:r w:rsidRPr="00F2449F">
        <w:rPr>
          <w:i/>
          <w:lang w:val="en-US"/>
        </w:rPr>
        <w:t>7</w:t>
      </w:r>
      <w:r w:rsidRPr="00F2449F">
        <w:rPr>
          <w:lang w:val="en-US"/>
        </w:rPr>
        <w:t>(6), 491-–503.</w:t>
      </w:r>
    </w:p>
    <w:p w14:paraId="57A961AF" w14:textId="77777777" w:rsidR="007D760F" w:rsidRPr="00F2449F" w:rsidRDefault="007D760F" w:rsidP="007B62B8">
      <w:pPr>
        <w:spacing w:line="480" w:lineRule="auto"/>
        <w:ind w:hanging="284"/>
        <w:jc w:val="both"/>
        <w:rPr>
          <w:lang w:val="en-US"/>
        </w:rPr>
      </w:pPr>
      <w:r w:rsidRPr="00F2449F">
        <w:rPr>
          <w:lang w:val="en-US"/>
        </w:rPr>
        <w:t>Beall, J. (2007). Cities, terrorism and urban wars of the 21st century. In Crisis States Research Centre (Ed</w:t>
      </w:r>
      <w:r w:rsidRPr="00F2449F">
        <w:rPr>
          <w:i/>
          <w:lang w:val="en-US"/>
        </w:rPr>
        <w:t>.), Crisis States Working Paper</w:t>
      </w:r>
      <w:r w:rsidRPr="00F2449F">
        <w:rPr>
          <w:lang w:val="en-US"/>
        </w:rPr>
        <w:t xml:space="preserve"> (Cities Theme), London.</w:t>
      </w:r>
    </w:p>
    <w:p w14:paraId="18155896" w14:textId="77777777" w:rsidR="007D760F" w:rsidRPr="00F2449F" w:rsidRDefault="007D760F" w:rsidP="007B62B8">
      <w:pPr>
        <w:spacing w:line="480" w:lineRule="auto"/>
        <w:ind w:hanging="284"/>
        <w:jc w:val="both"/>
        <w:rPr>
          <w:shd w:val="clear" w:color="auto" w:fill="FAFAFA"/>
          <w:lang w:val="en-US"/>
        </w:rPr>
      </w:pPr>
      <w:r w:rsidRPr="00F2449F">
        <w:rPr>
          <w:lang w:val="en-US"/>
        </w:rPr>
        <w:t>Beckman</w:t>
      </w:r>
      <w:r w:rsidRPr="00F2449F">
        <w:rPr>
          <w:shd w:val="clear" w:color="auto" w:fill="FAFAFA"/>
          <w:lang w:val="en-US"/>
        </w:rPr>
        <w:t>, </w:t>
      </w:r>
      <w:r w:rsidRPr="00F2449F">
        <w:rPr>
          <w:lang w:val="en-US"/>
        </w:rPr>
        <w:t>C. M., Haunschild</w:t>
      </w:r>
      <w:r w:rsidRPr="00F2449F">
        <w:rPr>
          <w:shd w:val="clear" w:color="auto" w:fill="FAFAFA"/>
          <w:lang w:val="en-US"/>
        </w:rPr>
        <w:t>, </w:t>
      </w:r>
      <w:r w:rsidRPr="00F2449F">
        <w:rPr>
          <w:lang w:val="en-US"/>
        </w:rPr>
        <w:t>P. R. &amp; Phillips</w:t>
      </w:r>
      <w:r w:rsidRPr="00F2449F">
        <w:rPr>
          <w:shd w:val="clear" w:color="auto" w:fill="FAFAFA"/>
          <w:lang w:val="en-US"/>
        </w:rPr>
        <w:t xml:space="preserve">, D. J. (2004). Friends or strangers? Firm-specific uncertainty, market uncertainty, and network partner selection. </w:t>
      </w:r>
      <w:r w:rsidRPr="00F2449F">
        <w:rPr>
          <w:i/>
          <w:shd w:val="clear" w:color="auto" w:fill="FAFAFA"/>
          <w:lang w:val="en-US"/>
        </w:rPr>
        <w:t>Organization Science</w:t>
      </w:r>
      <w:r w:rsidRPr="00F2449F">
        <w:rPr>
          <w:shd w:val="clear" w:color="auto" w:fill="FAFAFA"/>
          <w:lang w:val="en-US"/>
        </w:rPr>
        <w:t xml:space="preserve">, </w:t>
      </w:r>
      <w:r w:rsidRPr="00F2449F">
        <w:rPr>
          <w:i/>
          <w:shd w:val="clear" w:color="auto" w:fill="FAFAFA"/>
          <w:lang w:val="en-US"/>
        </w:rPr>
        <w:t>15</w:t>
      </w:r>
      <w:r w:rsidRPr="00F2449F">
        <w:rPr>
          <w:shd w:val="clear" w:color="auto" w:fill="FAFAFA"/>
          <w:lang w:val="en-US"/>
        </w:rPr>
        <w:t>(3), 259</w:t>
      </w:r>
      <w:r w:rsidRPr="00F2449F">
        <w:rPr>
          <w:shd w:val="clear" w:color="auto" w:fill="FFFFFF"/>
          <w:lang w:val="en-US"/>
        </w:rPr>
        <w:t>–</w:t>
      </w:r>
      <w:r w:rsidRPr="00F2449F">
        <w:rPr>
          <w:shd w:val="clear" w:color="auto" w:fill="FAFAFA"/>
          <w:lang w:val="en-US"/>
        </w:rPr>
        <w:t>275.</w:t>
      </w:r>
    </w:p>
    <w:p w14:paraId="05F4218D" w14:textId="77777777" w:rsidR="007D760F" w:rsidRPr="00F2449F" w:rsidRDefault="007D760F" w:rsidP="007B62B8">
      <w:pPr>
        <w:spacing w:line="480" w:lineRule="auto"/>
        <w:ind w:hanging="284"/>
        <w:jc w:val="both"/>
        <w:rPr>
          <w:shd w:val="clear" w:color="auto" w:fill="FAFAFA"/>
          <w:lang w:val="en-US"/>
        </w:rPr>
      </w:pPr>
      <w:r w:rsidRPr="00F2449F">
        <w:rPr>
          <w:lang w:val="en-US"/>
        </w:rPr>
        <w:lastRenderedPageBreak/>
        <w:t xml:space="preserve">Bewley, T. F. (2002). Knightian decision theory. Part I. </w:t>
      </w:r>
      <w:r w:rsidRPr="00F2449F">
        <w:rPr>
          <w:i/>
          <w:lang w:val="en-US"/>
        </w:rPr>
        <w:t>Decisions in Economics and Finance</w:t>
      </w:r>
      <w:r w:rsidRPr="00F2449F">
        <w:rPr>
          <w:lang w:val="en-US"/>
        </w:rPr>
        <w:t xml:space="preserve">, </w:t>
      </w:r>
      <w:r w:rsidRPr="00F2449F">
        <w:rPr>
          <w:i/>
          <w:lang w:val="en-US"/>
        </w:rPr>
        <w:t>25</w:t>
      </w:r>
      <w:r w:rsidRPr="00F2449F">
        <w:rPr>
          <w:lang w:val="en-US"/>
        </w:rPr>
        <w:t>, 79</w:t>
      </w:r>
      <w:r w:rsidRPr="00F2449F">
        <w:rPr>
          <w:shd w:val="clear" w:color="auto" w:fill="FFFFFF"/>
          <w:lang w:val="en-US"/>
        </w:rPr>
        <w:t>–</w:t>
      </w:r>
      <w:r w:rsidRPr="00F2449F">
        <w:rPr>
          <w:lang w:val="en-US"/>
        </w:rPr>
        <w:t xml:space="preserve">110. </w:t>
      </w:r>
    </w:p>
    <w:p w14:paraId="01B7D466" w14:textId="77777777" w:rsidR="007D760F" w:rsidRPr="00F2449F" w:rsidRDefault="007D760F" w:rsidP="007B62B8">
      <w:pPr>
        <w:spacing w:line="480" w:lineRule="auto"/>
        <w:ind w:hanging="284"/>
        <w:jc w:val="both"/>
        <w:rPr>
          <w:lang w:val="en-US"/>
        </w:rPr>
      </w:pPr>
      <w:r w:rsidRPr="00F2449F">
        <w:rPr>
          <w:lang w:val="en-US"/>
        </w:rPr>
        <w:t xml:space="preserve">Brennan, R., &amp; Turnbull, P. (1995). Adaptations in buyer–seller relationships. </w:t>
      </w:r>
      <w:r w:rsidRPr="00F2449F">
        <w:rPr>
          <w:i/>
          <w:lang w:val="en-US"/>
        </w:rPr>
        <w:t>Proceedings of the 11th IMP conference</w:t>
      </w:r>
      <w:r w:rsidRPr="00F2449F">
        <w:rPr>
          <w:lang w:val="en-US"/>
        </w:rPr>
        <w:t xml:space="preserve">. Manchester Federal School of Business and Management. </w:t>
      </w:r>
    </w:p>
    <w:p w14:paraId="045C0D0C" w14:textId="77777777" w:rsidR="007D760F" w:rsidRPr="00F2449F" w:rsidRDefault="007D760F" w:rsidP="007B62B8">
      <w:pPr>
        <w:spacing w:line="480" w:lineRule="auto"/>
        <w:ind w:hanging="284"/>
        <w:jc w:val="both"/>
        <w:rPr>
          <w:lang w:val="en-US"/>
        </w:rPr>
      </w:pPr>
      <w:r w:rsidRPr="00F2449F">
        <w:rPr>
          <w:lang w:val="en-US"/>
        </w:rPr>
        <w:t xml:space="preserve">Brennan, R., &amp; Turnbull, P. (1999). Adaptive behavior in buyer–supplier relationships. </w:t>
      </w:r>
      <w:r w:rsidRPr="00F2449F">
        <w:rPr>
          <w:i/>
          <w:lang w:val="en-US"/>
        </w:rPr>
        <w:t>Industrial Marketing Management</w:t>
      </w:r>
      <w:r w:rsidRPr="00F2449F">
        <w:rPr>
          <w:lang w:val="en-US"/>
        </w:rPr>
        <w:t>, 28(5), 418</w:t>
      </w:r>
      <w:r w:rsidRPr="00F2449F">
        <w:rPr>
          <w:shd w:val="clear" w:color="auto" w:fill="FFFFFF"/>
          <w:lang w:val="en-US"/>
        </w:rPr>
        <w:t>–</w:t>
      </w:r>
      <w:r w:rsidRPr="00F2449F">
        <w:rPr>
          <w:lang w:val="en-US"/>
        </w:rPr>
        <w:t>495.</w:t>
      </w:r>
    </w:p>
    <w:p w14:paraId="5A6D3D7B" w14:textId="77777777" w:rsidR="007D760F" w:rsidRPr="00F2449F" w:rsidRDefault="007D760F" w:rsidP="007B62B8">
      <w:pPr>
        <w:spacing w:line="480" w:lineRule="auto"/>
        <w:ind w:hanging="284"/>
        <w:jc w:val="both"/>
        <w:rPr>
          <w:lang w:val="en-US"/>
        </w:rPr>
      </w:pPr>
      <w:r w:rsidRPr="00F2449F">
        <w:rPr>
          <w:lang w:val="en-US"/>
        </w:rPr>
        <w:t>Broekhuizen, T. L. J.</w:t>
      </w:r>
      <w:r w:rsidRPr="00F2449F">
        <w:rPr>
          <w:shd w:val="clear" w:color="auto" w:fill="FFFFFF"/>
          <w:lang w:val="en-US"/>
        </w:rPr>
        <w:t>, </w:t>
      </w:r>
      <w:r w:rsidRPr="00F2449F">
        <w:rPr>
          <w:lang w:val="en-US"/>
        </w:rPr>
        <w:t>Giarratana, M. S.</w:t>
      </w:r>
      <w:r w:rsidRPr="00F2449F">
        <w:rPr>
          <w:shd w:val="clear" w:color="auto" w:fill="FFFFFF"/>
          <w:lang w:val="en-US"/>
        </w:rPr>
        <w:t> &amp; </w:t>
      </w:r>
      <w:r w:rsidRPr="00F2449F">
        <w:rPr>
          <w:lang w:val="en-US"/>
        </w:rPr>
        <w:t>Torres, A.</w:t>
      </w:r>
      <w:r w:rsidRPr="00F2449F">
        <w:rPr>
          <w:shd w:val="clear" w:color="auto" w:fill="FFFFFF"/>
          <w:lang w:val="en-US"/>
        </w:rPr>
        <w:t> (2017). Uncertainty avoidance and the exploration-exploitation trade-off. </w:t>
      </w:r>
      <w:r w:rsidRPr="00F2449F">
        <w:rPr>
          <w:i/>
          <w:iCs/>
          <w:lang w:val="en-US"/>
        </w:rPr>
        <w:t>European Journal of Marketing</w:t>
      </w:r>
      <w:r w:rsidRPr="00F2449F">
        <w:rPr>
          <w:shd w:val="clear" w:color="auto" w:fill="FFFFFF"/>
          <w:lang w:val="en-US"/>
        </w:rPr>
        <w:t xml:space="preserve">, </w:t>
      </w:r>
      <w:r w:rsidRPr="00F2449F">
        <w:rPr>
          <w:i/>
          <w:shd w:val="clear" w:color="auto" w:fill="FFFFFF"/>
          <w:lang w:val="en-US"/>
        </w:rPr>
        <w:t>51</w:t>
      </w:r>
      <w:r w:rsidRPr="00F2449F">
        <w:rPr>
          <w:shd w:val="clear" w:color="auto" w:fill="FFFFFF"/>
          <w:lang w:val="en-US"/>
        </w:rPr>
        <w:t>(11/12), 2080–2100.</w:t>
      </w:r>
    </w:p>
    <w:p w14:paraId="2BDC8A64" w14:textId="77777777" w:rsidR="007D760F" w:rsidRPr="00F2449F" w:rsidRDefault="007D760F" w:rsidP="007B62B8">
      <w:pPr>
        <w:shd w:val="clear" w:color="auto" w:fill="FFFFFF"/>
        <w:spacing w:line="480" w:lineRule="auto"/>
        <w:ind w:hanging="284"/>
        <w:jc w:val="both"/>
        <w:rPr>
          <w:lang w:val="en-US"/>
        </w:rPr>
      </w:pPr>
      <w:r w:rsidRPr="00F2449F">
        <w:rPr>
          <w:lang w:val="en-US"/>
        </w:rPr>
        <w:t>Buckley, P. J. &amp; Carter, M. J. (1999). Managing cross-border complementary knowledge. </w:t>
      </w:r>
      <w:r w:rsidRPr="00F2449F">
        <w:rPr>
          <w:i/>
          <w:lang w:val="en-US"/>
        </w:rPr>
        <w:t>International Studies of Management &amp; Organization</w:t>
      </w:r>
      <w:r w:rsidRPr="00F2449F">
        <w:rPr>
          <w:lang w:val="en-US"/>
        </w:rPr>
        <w:t>, </w:t>
      </w:r>
      <w:r w:rsidRPr="00F2449F">
        <w:rPr>
          <w:i/>
          <w:lang w:val="en-US"/>
        </w:rPr>
        <w:t>29</w:t>
      </w:r>
      <w:r w:rsidRPr="00F2449F">
        <w:rPr>
          <w:lang w:val="en-US"/>
        </w:rPr>
        <w:t>(1), 80</w:t>
      </w:r>
      <w:r w:rsidRPr="00F2449F">
        <w:rPr>
          <w:shd w:val="clear" w:color="auto" w:fill="FFFFFF"/>
          <w:lang w:val="en-US"/>
        </w:rPr>
        <w:t>–</w:t>
      </w:r>
      <w:r w:rsidRPr="00F2449F">
        <w:rPr>
          <w:lang w:val="en-US"/>
        </w:rPr>
        <w:t>104.</w:t>
      </w:r>
    </w:p>
    <w:p w14:paraId="46B5EC67" w14:textId="77777777" w:rsidR="007D760F" w:rsidRPr="00F2449F" w:rsidRDefault="007D760F" w:rsidP="007B62B8">
      <w:pPr>
        <w:shd w:val="clear" w:color="auto" w:fill="FFFFFF"/>
        <w:spacing w:line="480" w:lineRule="auto"/>
        <w:ind w:hanging="284"/>
        <w:jc w:val="both"/>
        <w:rPr>
          <w:lang w:val="en-US"/>
        </w:rPr>
      </w:pPr>
      <w:r w:rsidRPr="00F2449F">
        <w:rPr>
          <w:lang w:val="en-US"/>
        </w:rPr>
        <w:t xml:space="preserve">Bundy, J., Pfarrer, M. D., Short, C. E., Coombs, W. T. (2017). Crises and Crisis Management: Integration, Interpretation, and Research Development. </w:t>
      </w:r>
      <w:r w:rsidRPr="00F2449F">
        <w:rPr>
          <w:i/>
          <w:lang w:val="en-US"/>
        </w:rPr>
        <w:t>Journal of Management, 43</w:t>
      </w:r>
      <w:r w:rsidRPr="00F2449F">
        <w:rPr>
          <w:lang w:val="en-US"/>
        </w:rPr>
        <w:t xml:space="preserve">(6), 1661–1692. </w:t>
      </w:r>
    </w:p>
    <w:p w14:paraId="4C3B0F99" w14:textId="77777777" w:rsidR="007D760F" w:rsidRPr="00F2449F" w:rsidRDefault="007D760F" w:rsidP="007B62B8">
      <w:pPr>
        <w:shd w:val="clear" w:color="auto" w:fill="FFFFFF"/>
        <w:spacing w:line="480" w:lineRule="auto"/>
        <w:ind w:hanging="284"/>
        <w:jc w:val="both"/>
        <w:rPr>
          <w:lang w:val="en-US"/>
        </w:rPr>
      </w:pPr>
      <w:r w:rsidRPr="00F2449F">
        <w:rPr>
          <w:lang w:val="en-US"/>
        </w:rPr>
        <w:t xml:space="preserve">Canning, L., Brennan, R. (2004). Strategy as the management of adaptation. </w:t>
      </w:r>
      <w:r w:rsidRPr="00F2449F">
        <w:rPr>
          <w:i/>
          <w:lang w:val="en-US"/>
        </w:rPr>
        <w:t>IMP Annual Conference 2004</w:t>
      </w:r>
      <w:r w:rsidRPr="00F2449F">
        <w:rPr>
          <w:lang w:val="en-US"/>
        </w:rPr>
        <w:t xml:space="preserve">, Copenhagen. </w:t>
      </w:r>
    </w:p>
    <w:p w14:paraId="10D234CE" w14:textId="77777777" w:rsidR="007D760F" w:rsidRPr="00F2449F" w:rsidRDefault="007D760F" w:rsidP="007B62B8">
      <w:pPr>
        <w:shd w:val="clear" w:color="auto" w:fill="FFFFFF"/>
        <w:spacing w:line="480" w:lineRule="auto"/>
        <w:ind w:hanging="284"/>
        <w:jc w:val="both"/>
        <w:rPr>
          <w:lang w:val="en-US"/>
        </w:rPr>
      </w:pPr>
      <w:r w:rsidRPr="00F2449F">
        <w:rPr>
          <w:lang w:val="en-US"/>
        </w:rPr>
        <w:t xml:space="preserve">Catino, M. (2013). </w:t>
      </w:r>
      <w:r w:rsidRPr="00F2449F">
        <w:rPr>
          <w:i/>
          <w:lang w:val="en-US"/>
        </w:rPr>
        <w:t xml:space="preserve">Organizational myopia: Problems of rationality and foresight in organizations. </w:t>
      </w:r>
      <w:r w:rsidRPr="00F2449F">
        <w:rPr>
          <w:lang w:val="en-US"/>
        </w:rPr>
        <w:t xml:space="preserve">Cambridge University Press. </w:t>
      </w:r>
    </w:p>
    <w:p w14:paraId="6B407C9A" w14:textId="77777777" w:rsidR="007D760F" w:rsidRPr="00F2449F" w:rsidRDefault="007D760F" w:rsidP="007B62B8">
      <w:pPr>
        <w:shd w:val="clear" w:color="auto" w:fill="FFFFFF"/>
        <w:spacing w:line="480" w:lineRule="auto"/>
        <w:ind w:hanging="284"/>
        <w:jc w:val="both"/>
        <w:rPr>
          <w:lang w:val="en-US"/>
        </w:rPr>
      </w:pPr>
      <w:r w:rsidRPr="00F2449F">
        <w:rPr>
          <w:lang w:val="en-US"/>
        </w:rPr>
        <w:t xml:space="preserve">Cavanagh, C. J. (2017). Resilience, class, and the antifragility of capital. </w:t>
      </w:r>
      <w:r w:rsidRPr="00F2449F">
        <w:rPr>
          <w:i/>
          <w:iCs/>
          <w:lang w:val="en-US"/>
        </w:rPr>
        <w:t>Resilience</w:t>
      </w:r>
      <w:r w:rsidRPr="00F2449F">
        <w:rPr>
          <w:i/>
          <w:lang w:val="en-US"/>
        </w:rPr>
        <w:t>, 5</w:t>
      </w:r>
      <w:r w:rsidRPr="00F2449F">
        <w:rPr>
          <w:lang w:val="en-US"/>
        </w:rPr>
        <w:t>, 110–128.</w:t>
      </w:r>
    </w:p>
    <w:p w14:paraId="23F921DF" w14:textId="77777777" w:rsidR="007D760F" w:rsidRPr="00F2449F" w:rsidRDefault="007D760F" w:rsidP="007B62B8">
      <w:pPr>
        <w:shd w:val="clear" w:color="auto" w:fill="FFFFFF"/>
        <w:spacing w:line="480" w:lineRule="auto"/>
        <w:ind w:hanging="284"/>
        <w:jc w:val="both"/>
        <w:rPr>
          <w:lang w:val="en-US"/>
        </w:rPr>
      </w:pPr>
      <w:r w:rsidRPr="00F2449F">
        <w:rPr>
          <w:lang w:val="en-US"/>
        </w:rPr>
        <w:t xml:space="preserve">Cavanillas, J. M., Curry, E., &amp; Wahlster, W. (2017). </w:t>
      </w:r>
      <w:r w:rsidRPr="00F2449F">
        <w:rPr>
          <w:i/>
          <w:lang w:val="en-US"/>
        </w:rPr>
        <w:t>New horizons for a data-driven economy: A roadmap for usage and exploitation of Big Data in Europe</w:t>
      </w:r>
      <w:r w:rsidRPr="00F2449F">
        <w:rPr>
          <w:lang w:val="en-US"/>
        </w:rPr>
        <w:t>. Springer Open.</w:t>
      </w:r>
    </w:p>
    <w:p w14:paraId="279540A7" w14:textId="77777777" w:rsidR="007D760F" w:rsidRPr="00F2449F" w:rsidRDefault="007D760F" w:rsidP="007B62B8">
      <w:pPr>
        <w:shd w:val="clear" w:color="auto" w:fill="FFFFFF"/>
        <w:spacing w:line="480" w:lineRule="auto"/>
        <w:ind w:hanging="284"/>
        <w:jc w:val="both"/>
        <w:rPr>
          <w:lang w:val="en-US"/>
        </w:rPr>
      </w:pPr>
      <w:r w:rsidRPr="00F2449F">
        <w:rPr>
          <w:lang w:val="en-US"/>
        </w:rPr>
        <w:t xml:space="preserve">Chikudate, N. (2002). Collective myopia and disciplinary power behind the scenes of unethical practices: A diagnostic theory on Japanese organization. </w:t>
      </w:r>
      <w:r w:rsidRPr="00F2449F">
        <w:rPr>
          <w:i/>
          <w:iCs/>
          <w:lang w:val="en-US"/>
        </w:rPr>
        <w:t>Journal of Management Studies, 39</w:t>
      </w:r>
      <w:r w:rsidRPr="00F2449F">
        <w:rPr>
          <w:lang w:val="en-US"/>
        </w:rPr>
        <w:t xml:space="preserve">(3), 289–307. </w:t>
      </w:r>
    </w:p>
    <w:p w14:paraId="23DE1BF0" w14:textId="77777777" w:rsidR="007D760F" w:rsidRPr="00F2449F" w:rsidRDefault="007D760F" w:rsidP="007B62B8">
      <w:pPr>
        <w:spacing w:line="480" w:lineRule="auto"/>
        <w:ind w:hanging="284"/>
        <w:jc w:val="both"/>
        <w:rPr>
          <w:lang w:val="en-US"/>
        </w:rPr>
      </w:pPr>
      <w:r w:rsidRPr="00F2449F">
        <w:rPr>
          <w:lang w:val="en-US"/>
        </w:rPr>
        <w:t xml:space="preserve">Coombs, W. T. (2015). </w:t>
      </w:r>
      <w:r w:rsidRPr="00F2449F">
        <w:rPr>
          <w:i/>
          <w:iCs/>
          <w:lang w:val="en-US"/>
        </w:rPr>
        <w:t xml:space="preserve">Ongoing crisis communication: Planning, managing, and responding </w:t>
      </w:r>
      <w:r w:rsidRPr="00F2449F">
        <w:rPr>
          <w:lang w:val="en-US"/>
        </w:rPr>
        <w:t>(4</w:t>
      </w:r>
      <w:r w:rsidRPr="00F2449F">
        <w:rPr>
          <w:vertAlign w:val="superscript"/>
          <w:lang w:val="en-US"/>
        </w:rPr>
        <w:t>th</w:t>
      </w:r>
      <w:r w:rsidRPr="00F2449F">
        <w:rPr>
          <w:lang w:val="en-US"/>
        </w:rPr>
        <w:t xml:space="preserve"> ed.). Thousand Oaks, CA: SAGE Publications Inc. </w:t>
      </w:r>
    </w:p>
    <w:p w14:paraId="1AE294CA" w14:textId="77777777" w:rsidR="007D760F" w:rsidRPr="00F2449F" w:rsidRDefault="007D760F" w:rsidP="007B62B8">
      <w:pPr>
        <w:spacing w:line="480" w:lineRule="auto"/>
        <w:ind w:hanging="284"/>
        <w:jc w:val="both"/>
        <w:rPr>
          <w:rStyle w:val="title-text"/>
          <w:lang w:val="en-US"/>
        </w:rPr>
      </w:pPr>
      <w:r w:rsidRPr="00F2449F">
        <w:rPr>
          <w:lang w:val="en-US"/>
        </w:rPr>
        <w:t xml:space="preserve">Corsaro, D., &amp; Snehota, I. (2012). </w:t>
      </w:r>
      <w:r w:rsidRPr="00F2449F">
        <w:rPr>
          <w:rStyle w:val="title-text"/>
          <w:lang w:val="en-US"/>
        </w:rPr>
        <w:t xml:space="preserve">Perceptions of change in business relationships and networks. </w:t>
      </w:r>
      <w:r w:rsidRPr="00F2449F">
        <w:rPr>
          <w:rStyle w:val="title-text"/>
          <w:i/>
          <w:lang w:val="en-US"/>
        </w:rPr>
        <w:t>Industrial Marketing Management</w:t>
      </w:r>
      <w:r w:rsidRPr="00F2449F">
        <w:rPr>
          <w:rStyle w:val="title-text"/>
          <w:lang w:val="en-US"/>
        </w:rPr>
        <w:t xml:space="preserve">, </w:t>
      </w:r>
      <w:r w:rsidRPr="00F2449F">
        <w:rPr>
          <w:rStyle w:val="title-text"/>
          <w:i/>
          <w:lang w:val="en-US"/>
        </w:rPr>
        <w:t>41</w:t>
      </w:r>
      <w:r w:rsidRPr="00F2449F">
        <w:rPr>
          <w:rStyle w:val="title-text"/>
          <w:lang w:val="en-US"/>
        </w:rPr>
        <w:t>(2), 270</w:t>
      </w:r>
      <w:r w:rsidRPr="00F2449F">
        <w:rPr>
          <w:lang w:val="en-US"/>
        </w:rPr>
        <w:t>–</w:t>
      </w:r>
      <w:r w:rsidRPr="00F2449F">
        <w:rPr>
          <w:rStyle w:val="title-text"/>
          <w:lang w:val="en-US"/>
        </w:rPr>
        <w:t>286.</w:t>
      </w:r>
    </w:p>
    <w:p w14:paraId="0172D19E" w14:textId="77777777" w:rsidR="007D760F" w:rsidRPr="00F2449F" w:rsidRDefault="007D760F" w:rsidP="007B62B8">
      <w:pPr>
        <w:spacing w:line="480" w:lineRule="auto"/>
        <w:ind w:hanging="284"/>
        <w:jc w:val="both"/>
        <w:rPr>
          <w:lang w:val="en-US"/>
        </w:rPr>
      </w:pPr>
      <w:r w:rsidRPr="00F2449F">
        <w:rPr>
          <w:lang w:val="en-US"/>
        </w:rPr>
        <w:lastRenderedPageBreak/>
        <w:t xml:space="preserve">Corsaro, D., Fiocca, R., Henneberg, S. C., &amp; Tunisini, A. (2013). A value perspective on relationship portfolios. </w:t>
      </w:r>
      <w:r w:rsidRPr="00F2449F">
        <w:rPr>
          <w:i/>
          <w:lang w:val="en-US"/>
        </w:rPr>
        <w:t>Marketing Theory, 13</w:t>
      </w:r>
      <w:r w:rsidRPr="00F2449F">
        <w:rPr>
          <w:lang w:val="en-US"/>
        </w:rPr>
        <w:t xml:space="preserve">(3), 275–302. </w:t>
      </w:r>
    </w:p>
    <w:p w14:paraId="2CE051C6" w14:textId="77777777" w:rsidR="007D760F" w:rsidRPr="00F2449F" w:rsidRDefault="007D760F" w:rsidP="007B62B8">
      <w:pPr>
        <w:spacing w:line="480" w:lineRule="auto"/>
        <w:ind w:hanging="284"/>
        <w:jc w:val="both"/>
        <w:rPr>
          <w:lang w:val="en-US"/>
        </w:rPr>
      </w:pPr>
      <w:r w:rsidRPr="00F2449F">
        <w:rPr>
          <w:lang w:val="en-US"/>
        </w:rPr>
        <w:t xml:space="preserve">Creswell, J. W. &amp; Creswell, J. D. (2018). </w:t>
      </w:r>
      <w:r w:rsidRPr="00F2449F">
        <w:rPr>
          <w:i/>
          <w:lang w:val="en-US"/>
        </w:rPr>
        <w:t>Research design: qualitative, quantitative, and mixed methods approaches</w:t>
      </w:r>
      <w:r w:rsidRPr="00F2449F">
        <w:rPr>
          <w:lang w:val="en-US"/>
        </w:rPr>
        <w:t xml:space="preserve"> (5</w:t>
      </w:r>
      <w:r w:rsidRPr="00F2449F">
        <w:rPr>
          <w:vertAlign w:val="superscript"/>
          <w:lang w:val="en-US"/>
        </w:rPr>
        <w:t>th</w:t>
      </w:r>
      <w:r w:rsidRPr="00F2449F">
        <w:rPr>
          <w:lang w:val="en-US"/>
        </w:rPr>
        <w:t xml:space="preserve"> ed.). Thousand Oaks, CA: SAGE Publications Inc.</w:t>
      </w:r>
    </w:p>
    <w:p w14:paraId="34ADD553" w14:textId="77777777" w:rsidR="007D760F" w:rsidRPr="00F2449F" w:rsidRDefault="007D760F" w:rsidP="007B62B8">
      <w:pPr>
        <w:spacing w:line="480" w:lineRule="auto"/>
        <w:ind w:hanging="284"/>
        <w:jc w:val="both"/>
        <w:rPr>
          <w:shd w:val="clear" w:color="auto" w:fill="FFFFFF"/>
          <w:lang w:val="en-US"/>
        </w:rPr>
      </w:pPr>
      <w:r w:rsidRPr="00F2449F">
        <w:rPr>
          <w:shd w:val="clear" w:color="auto" w:fill="FFFFFF"/>
          <w:lang w:val="en-US"/>
        </w:rPr>
        <w:t>Day, G. S., &amp; Schoemaker, P. J. H. (2016). Adapting to fast-changing markets and technologies. </w:t>
      </w:r>
      <w:r w:rsidRPr="00F2449F">
        <w:rPr>
          <w:i/>
          <w:iCs/>
          <w:lang w:val="en-US"/>
        </w:rPr>
        <w:t>California Management Review</w:t>
      </w:r>
      <w:r w:rsidRPr="00F2449F">
        <w:rPr>
          <w:shd w:val="clear" w:color="auto" w:fill="FFFFFF"/>
          <w:lang w:val="en-US"/>
        </w:rPr>
        <w:t>, </w:t>
      </w:r>
      <w:r w:rsidRPr="00F2449F">
        <w:rPr>
          <w:i/>
          <w:iCs/>
          <w:lang w:val="en-US"/>
        </w:rPr>
        <w:t>58</w:t>
      </w:r>
      <w:r w:rsidRPr="00F2449F">
        <w:rPr>
          <w:shd w:val="clear" w:color="auto" w:fill="FFFFFF"/>
          <w:lang w:val="en-US"/>
        </w:rPr>
        <w:t>(4), 59–77.</w:t>
      </w:r>
    </w:p>
    <w:p w14:paraId="0BDD9F91" w14:textId="77777777" w:rsidR="007D760F" w:rsidRPr="00F2449F" w:rsidRDefault="007D760F" w:rsidP="007B62B8">
      <w:pPr>
        <w:spacing w:line="480" w:lineRule="auto"/>
        <w:ind w:hanging="284"/>
        <w:jc w:val="both"/>
        <w:rPr>
          <w:shd w:val="clear" w:color="auto" w:fill="FFFFFF"/>
          <w:lang w:val="en-US"/>
        </w:rPr>
      </w:pPr>
      <w:r w:rsidRPr="00F2449F">
        <w:rPr>
          <w:lang w:val="en-US"/>
        </w:rPr>
        <w:t xml:space="preserve">Duncan, R. B. (1972). Characteristics of organizational environments and perceived environmental uncertainty. </w:t>
      </w:r>
      <w:r w:rsidRPr="00F2449F">
        <w:rPr>
          <w:i/>
          <w:lang w:val="en-US"/>
        </w:rPr>
        <w:t>Administrative Science Quarterly</w:t>
      </w:r>
      <w:r w:rsidRPr="00F2449F">
        <w:rPr>
          <w:lang w:val="en-US"/>
        </w:rPr>
        <w:t xml:space="preserve">, </w:t>
      </w:r>
      <w:r w:rsidRPr="00F2449F">
        <w:rPr>
          <w:i/>
          <w:lang w:val="en-US"/>
        </w:rPr>
        <w:t>17</w:t>
      </w:r>
      <w:r w:rsidRPr="00F2449F">
        <w:rPr>
          <w:lang w:val="en-US"/>
        </w:rPr>
        <w:t>, 313</w:t>
      </w:r>
      <w:r w:rsidRPr="00F2449F">
        <w:rPr>
          <w:shd w:val="clear" w:color="auto" w:fill="FFFFFF"/>
          <w:lang w:val="en-US"/>
        </w:rPr>
        <w:t>–</w:t>
      </w:r>
      <w:r w:rsidRPr="00F2449F">
        <w:rPr>
          <w:lang w:val="en-US"/>
        </w:rPr>
        <w:t>327.</w:t>
      </w:r>
    </w:p>
    <w:p w14:paraId="503F47AB" w14:textId="77777777" w:rsidR="007D760F" w:rsidRPr="00F2449F" w:rsidRDefault="007D760F" w:rsidP="007B62B8">
      <w:pPr>
        <w:spacing w:line="480" w:lineRule="auto"/>
        <w:ind w:hanging="284"/>
        <w:jc w:val="both"/>
        <w:rPr>
          <w:lang w:val="en-US"/>
        </w:rPr>
      </w:pPr>
      <w:r w:rsidRPr="00F2449F">
        <w:rPr>
          <w:lang w:val="en-US"/>
        </w:rPr>
        <w:t xml:space="preserve">El Baz, J., &amp; Ruel, S. (2021). Can supply chain risk management practices mitigate the disruption impacts on supply chains’ resilience and robustness? Evidence from an empirical survey in a COVID-19 outbreak era. </w:t>
      </w:r>
      <w:r w:rsidRPr="00F2449F">
        <w:rPr>
          <w:i/>
          <w:iCs/>
          <w:lang w:val="en-US"/>
        </w:rPr>
        <w:t>International Journal of Production Economics</w:t>
      </w:r>
      <w:r w:rsidRPr="00F2449F">
        <w:rPr>
          <w:iCs/>
          <w:lang w:val="en-US"/>
        </w:rPr>
        <w:t xml:space="preserve">, </w:t>
      </w:r>
      <w:r w:rsidRPr="00F2449F">
        <w:rPr>
          <w:i/>
          <w:iCs/>
          <w:lang w:val="en-US"/>
        </w:rPr>
        <w:t>233</w:t>
      </w:r>
      <w:r w:rsidRPr="00F2449F">
        <w:rPr>
          <w:iCs/>
          <w:lang w:val="en-US"/>
        </w:rPr>
        <w:t>, 107972</w:t>
      </w:r>
      <w:r w:rsidRPr="00F2449F">
        <w:rPr>
          <w:lang w:val="en-US"/>
        </w:rPr>
        <w:t xml:space="preserve">. </w:t>
      </w:r>
    </w:p>
    <w:p w14:paraId="26AD3FFB" w14:textId="77777777" w:rsidR="007D760F" w:rsidRPr="00F2449F" w:rsidRDefault="007D760F" w:rsidP="007B62B8">
      <w:pPr>
        <w:spacing w:line="480" w:lineRule="auto"/>
        <w:ind w:hanging="284"/>
        <w:jc w:val="both"/>
        <w:rPr>
          <w:lang w:val="en-US"/>
        </w:rPr>
      </w:pPr>
      <w:r w:rsidRPr="00F2449F">
        <w:rPr>
          <w:lang w:val="en-US"/>
        </w:rPr>
        <w:t xml:space="preserve">Finn, P., Mysore, M., &amp; Usher, O. (2020). When nothing is normal: Managing in extreme uncertainty, </w:t>
      </w:r>
      <w:r w:rsidRPr="00F2449F">
        <w:rPr>
          <w:i/>
          <w:lang w:val="en-US"/>
        </w:rPr>
        <w:t>McKinsey &amp; Company</w:t>
      </w:r>
      <w:r w:rsidRPr="00F2449F">
        <w:rPr>
          <w:rStyle w:val="apple-converted-space"/>
          <w:lang w:val="en-US"/>
        </w:rPr>
        <w:t xml:space="preserve">, </w:t>
      </w:r>
      <w:r w:rsidRPr="00F2449F">
        <w:rPr>
          <w:lang w:val="en-US"/>
        </w:rPr>
        <w:t xml:space="preserve">Available at:  </w:t>
      </w:r>
      <w:hyperlink r:id="rId9" w:history="1">
        <w:r w:rsidRPr="00F2449F">
          <w:rPr>
            <w:rStyle w:val="Collegamentoipertestuale"/>
            <w:color w:val="auto"/>
            <w:lang w:val="en-US"/>
          </w:rPr>
          <w:t>https://www.mckinsey.com/business-functions/risk-and-resilience/our-insights/when-nothing-is-normal-managing-in-extreme-uncertainty</w:t>
        </w:r>
      </w:hyperlink>
      <w:r w:rsidRPr="00F2449F">
        <w:rPr>
          <w:rStyle w:val="anchor-text"/>
          <w:lang w:val="en-US"/>
        </w:rPr>
        <w:t xml:space="preserve"> </w:t>
      </w:r>
      <w:r w:rsidRPr="00F2449F">
        <w:rPr>
          <w:lang w:val="en-US"/>
        </w:rPr>
        <w:t>[Last Accessed 1.9.2022].</w:t>
      </w:r>
    </w:p>
    <w:p w14:paraId="5F7C3BAD" w14:textId="77777777" w:rsidR="007D760F" w:rsidRPr="00F2449F" w:rsidRDefault="007D760F" w:rsidP="007B62B8">
      <w:pPr>
        <w:spacing w:line="480" w:lineRule="auto"/>
        <w:ind w:hanging="284"/>
        <w:jc w:val="both"/>
        <w:rPr>
          <w:lang w:val="en-US"/>
        </w:rPr>
      </w:pPr>
      <w:r w:rsidRPr="00F2449F">
        <w:rPr>
          <w:lang w:val="en-US"/>
        </w:rPr>
        <w:t xml:space="preserve">Gadde, L. E., &amp; </w:t>
      </w:r>
      <w:r w:rsidRPr="00F2449F">
        <w:rPr>
          <w:shd w:val="clear" w:color="auto" w:fill="FFFFFF"/>
          <w:lang w:val="en-US"/>
        </w:rPr>
        <w:t>Håkansson</w:t>
      </w:r>
      <w:r w:rsidRPr="00F2449F">
        <w:rPr>
          <w:lang w:val="en-US"/>
        </w:rPr>
        <w:t xml:space="preserve">, H. (1993). </w:t>
      </w:r>
      <w:r w:rsidRPr="00F2449F">
        <w:rPr>
          <w:i/>
          <w:lang w:val="en-US"/>
        </w:rPr>
        <w:t>Professional purchasing</w:t>
      </w:r>
      <w:r w:rsidRPr="00F2449F">
        <w:rPr>
          <w:lang w:val="en-US"/>
        </w:rPr>
        <w:t>. London: Routledge.</w:t>
      </w:r>
    </w:p>
    <w:p w14:paraId="3C0A3E3B" w14:textId="77777777" w:rsidR="007D760F" w:rsidRPr="00F2449F" w:rsidRDefault="007D760F" w:rsidP="007B62B8">
      <w:pPr>
        <w:spacing w:line="480" w:lineRule="auto"/>
        <w:ind w:hanging="284"/>
        <w:jc w:val="both"/>
        <w:rPr>
          <w:lang w:val="en-US"/>
        </w:rPr>
      </w:pPr>
      <w:r w:rsidRPr="00F2449F">
        <w:rPr>
          <w:lang w:val="en-US"/>
        </w:rPr>
        <w:t xml:space="preserve">Galbraith, J. (1977). </w:t>
      </w:r>
      <w:r w:rsidRPr="00F2449F">
        <w:rPr>
          <w:i/>
          <w:lang w:val="en-US"/>
        </w:rPr>
        <w:t>Designing complex organizations</w:t>
      </w:r>
      <w:r w:rsidRPr="00F2449F">
        <w:rPr>
          <w:lang w:val="en-US"/>
        </w:rPr>
        <w:t xml:space="preserve">. Reading, MA: Addison-Wesley. </w:t>
      </w:r>
    </w:p>
    <w:p w14:paraId="700223DD" w14:textId="77777777" w:rsidR="007D760F" w:rsidRPr="00F2449F" w:rsidRDefault="007D760F" w:rsidP="007B62B8">
      <w:pPr>
        <w:spacing w:line="480" w:lineRule="auto"/>
        <w:ind w:hanging="284"/>
        <w:jc w:val="both"/>
        <w:rPr>
          <w:lang w:val="en-US"/>
        </w:rPr>
      </w:pPr>
      <w:r w:rsidRPr="00F2449F">
        <w:rPr>
          <w:lang w:val="en-US"/>
        </w:rPr>
        <w:t xml:space="preserve">Gigerenzer, G. (2007). </w:t>
      </w:r>
      <w:r w:rsidRPr="00F2449F">
        <w:rPr>
          <w:i/>
          <w:lang w:val="en-US"/>
        </w:rPr>
        <w:t>Gut feelings: The intelligence of the unconscious</w:t>
      </w:r>
      <w:r w:rsidRPr="00F2449F">
        <w:rPr>
          <w:lang w:val="en-US"/>
        </w:rPr>
        <w:t>. London: Penguin Group.</w:t>
      </w:r>
    </w:p>
    <w:p w14:paraId="1D26CB99" w14:textId="77777777" w:rsidR="007D760F" w:rsidRPr="00F2449F" w:rsidRDefault="007D760F" w:rsidP="007B62B8">
      <w:pPr>
        <w:spacing w:line="480" w:lineRule="auto"/>
        <w:ind w:hanging="284"/>
        <w:jc w:val="both"/>
        <w:rPr>
          <w:lang w:val="en-US"/>
        </w:rPr>
      </w:pPr>
      <w:r w:rsidRPr="00F2449F">
        <w:rPr>
          <w:lang w:val="en-US"/>
        </w:rPr>
        <w:t xml:space="preserve">Gioia, D. A., Corley, K. G., &amp; Hamilton, A. L. (2013). Seeking qualitative rigor in inductive research: notes on the Gioia methodology. </w:t>
      </w:r>
      <w:r w:rsidRPr="00F2449F">
        <w:rPr>
          <w:i/>
          <w:lang w:val="en-US"/>
        </w:rPr>
        <w:t>Organizational Research Methods</w:t>
      </w:r>
      <w:r w:rsidRPr="00F2449F">
        <w:rPr>
          <w:lang w:val="en-US"/>
        </w:rPr>
        <w:t xml:space="preserve"> </w:t>
      </w:r>
      <w:r w:rsidRPr="00F2449F">
        <w:rPr>
          <w:i/>
          <w:lang w:val="en-US"/>
        </w:rPr>
        <w:t>16</w:t>
      </w:r>
      <w:r w:rsidRPr="00F2449F">
        <w:rPr>
          <w:lang w:val="en-US"/>
        </w:rPr>
        <w:t>(1), 15–31.</w:t>
      </w:r>
    </w:p>
    <w:p w14:paraId="745D7F3A" w14:textId="77777777" w:rsidR="007D760F" w:rsidRPr="00F2449F" w:rsidRDefault="007D760F" w:rsidP="007B62B8">
      <w:pPr>
        <w:spacing w:line="480" w:lineRule="auto"/>
        <w:ind w:hanging="284"/>
        <w:jc w:val="both"/>
        <w:rPr>
          <w:lang w:val="en-US"/>
        </w:rPr>
      </w:pPr>
      <w:r w:rsidRPr="00F2449F">
        <w:rPr>
          <w:lang w:val="en-US"/>
        </w:rPr>
        <w:t xml:space="preserve">Glaser, B. G. &amp; Strauss, A. L. (2009). </w:t>
      </w:r>
      <w:r w:rsidRPr="00F2449F">
        <w:rPr>
          <w:i/>
          <w:lang w:val="en-US"/>
        </w:rPr>
        <w:t>The Discovery of Grounded Theory: Strategies for Qualitative Research.</w:t>
      </w:r>
      <w:r w:rsidRPr="00F2449F">
        <w:rPr>
          <w:lang w:val="en-US"/>
        </w:rPr>
        <w:t xml:space="preserve"> Piscataway, NJ: Transaction Publishers.</w:t>
      </w:r>
    </w:p>
    <w:p w14:paraId="41E6BB52" w14:textId="77777777" w:rsidR="007D760F" w:rsidRPr="00F2449F" w:rsidRDefault="007D760F" w:rsidP="007B62B8">
      <w:pPr>
        <w:spacing w:line="480" w:lineRule="auto"/>
        <w:ind w:hanging="284"/>
        <w:jc w:val="both"/>
        <w:rPr>
          <w:lang w:val="en-US"/>
        </w:rPr>
      </w:pPr>
      <w:r w:rsidRPr="00F2449F">
        <w:rPr>
          <w:lang w:val="en-US"/>
        </w:rPr>
        <w:t xml:space="preserve">Grönroos, C. (2008). Service logic revisited: who creates value? And who co-creates. </w:t>
      </w:r>
      <w:r w:rsidRPr="00F2449F">
        <w:rPr>
          <w:i/>
          <w:lang w:val="en-US"/>
        </w:rPr>
        <w:t>European Business Review, 20</w:t>
      </w:r>
      <w:r w:rsidRPr="00F2449F">
        <w:rPr>
          <w:lang w:val="en-US"/>
        </w:rPr>
        <w:t xml:space="preserve">(4), 298–314. </w:t>
      </w:r>
    </w:p>
    <w:p w14:paraId="4BAD1E51" w14:textId="77777777" w:rsidR="007D760F" w:rsidRPr="00F2449F" w:rsidRDefault="007D760F" w:rsidP="007B62B8">
      <w:pPr>
        <w:spacing w:line="480" w:lineRule="auto"/>
        <w:ind w:hanging="284"/>
        <w:jc w:val="both"/>
        <w:rPr>
          <w:lang w:val="en-US"/>
        </w:rPr>
      </w:pPr>
      <w:r w:rsidRPr="00F2449F">
        <w:rPr>
          <w:lang w:val="en-US"/>
        </w:rPr>
        <w:t xml:space="preserve">Grönroos, C., &amp; Helle, P. (2010). Adopting a service logic in manufacturing: conceptual foundation and metrics for mutual value creation. </w:t>
      </w:r>
      <w:r w:rsidRPr="00F2449F">
        <w:rPr>
          <w:i/>
          <w:lang w:val="en-US"/>
        </w:rPr>
        <w:t>Journal of Service Management</w:t>
      </w:r>
      <w:r w:rsidRPr="00F2449F">
        <w:rPr>
          <w:lang w:val="en-US"/>
        </w:rPr>
        <w:t xml:space="preserve">, </w:t>
      </w:r>
      <w:r w:rsidRPr="00F2449F">
        <w:rPr>
          <w:i/>
          <w:lang w:val="en-US"/>
        </w:rPr>
        <w:t>21</w:t>
      </w:r>
      <w:r w:rsidRPr="00F2449F">
        <w:rPr>
          <w:lang w:val="en-US"/>
        </w:rPr>
        <w:t>(5), 564–590.</w:t>
      </w:r>
    </w:p>
    <w:p w14:paraId="4B70E7FC" w14:textId="77777777" w:rsidR="007D760F" w:rsidRPr="00F2449F" w:rsidRDefault="007D760F" w:rsidP="007B62B8">
      <w:pPr>
        <w:spacing w:line="480" w:lineRule="auto"/>
        <w:ind w:hanging="284"/>
        <w:jc w:val="both"/>
        <w:rPr>
          <w:lang w:val="en-US"/>
        </w:rPr>
      </w:pPr>
      <w:r w:rsidRPr="00F2449F">
        <w:rPr>
          <w:lang w:val="en-US"/>
        </w:rPr>
        <w:lastRenderedPageBreak/>
        <w:t xml:space="preserve">Grönroos, C., &amp; Helle, P. (2012). Return on relationships: Conceptual understanding and measurement of mutual gains from relational business engagements. </w:t>
      </w:r>
      <w:r w:rsidRPr="00F2449F">
        <w:rPr>
          <w:i/>
          <w:lang w:val="en-US"/>
        </w:rPr>
        <w:t>Journal of Business and Industrial Marketing</w:t>
      </w:r>
      <w:r w:rsidRPr="00F2449F">
        <w:rPr>
          <w:lang w:val="en-US"/>
        </w:rPr>
        <w:t>, 27(5), 344–359.</w:t>
      </w:r>
    </w:p>
    <w:p w14:paraId="4580913A" w14:textId="77777777" w:rsidR="007D760F" w:rsidRPr="00F2449F" w:rsidRDefault="007D760F" w:rsidP="007B62B8">
      <w:pPr>
        <w:spacing w:line="480" w:lineRule="auto"/>
        <w:ind w:hanging="284"/>
        <w:jc w:val="both"/>
        <w:rPr>
          <w:lang w:val="en-US"/>
        </w:rPr>
      </w:pPr>
      <w:r w:rsidRPr="00F2449F">
        <w:rPr>
          <w:lang w:val="en-US"/>
        </w:rPr>
        <w:t xml:space="preserve">Grönroos, C., &amp; Voima, P. (2013). Critical service logic: making sense of value creation and co-creation. </w:t>
      </w:r>
      <w:r w:rsidRPr="00F2449F">
        <w:rPr>
          <w:i/>
          <w:lang w:val="en-US"/>
        </w:rPr>
        <w:t>Journal of the Academy of Marketing Science, 41</w:t>
      </w:r>
      <w:r w:rsidRPr="00F2449F">
        <w:rPr>
          <w:lang w:val="en-US"/>
        </w:rPr>
        <w:t>(2), 133–150.</w:t>
      </w:r>
    </w:p>
    <w:p w14:paraId="70504060" w14:textId="77777777" w:rsidR="007D760F" w:rsidRPr="00F2449F" w:rsidRDefault="007D760F" w:rsidP="007B62B8">
      <w:pPr>
        <w:spacing w:line="480" w:lineRule="auto"/>
        <w:ind w:hanging="284"/>
        <w:jc w:val="both"/>
        <w:rPr>
          <w:lang w:val="en-US"/>
        </w:rPr>
      </w:pPr>
      <w:r w:rsidRPr="00F2449F">
        <w:rPr>
          <w:lang w:val="en-US"/>
        </w:rPr>
        <w:t xml:space="preserve">Guercini, S., La Rocca, A., Runfola. A., &amp; Snehota, I. (2014). Interaction behaviors in business relationships and heuristics: Issues for management and research agenda. </w:t>
      </w:r>
      <w:r w:rsidRPr="00F2449F">
        <w:rPr>
          <w:i/>
          <w:lang w:val="en-US"/>
        </w:rPr>
        <w:t>Industrial Marketing Management</w:t>
      </w:r>
      <w:r w:rsidRPr="00F2449F">
        <w:rPr>
          <w:lang w:val="en-US"/>
        </w:rPr>
        <w:t xml:space="preserve">, </w:t>
      </w:r>
      <w:r w:rsidRPr="00F2449F">
        <w:rPr>
          <w:i/>
          <w:lang w:val="en-US"/>
        </w:rPr>
        <w:t>43</w:t>
      </w:r>
      <w:r w:rsidRPr="00F2449F">
        <w:rPr>
          <w:lang w:val="en-US"/>
        </w:rPr>
        <w:t>(2014), 929–937.</w:t>
      </w:r>
    </w:p>
    <w:p w14:paraId="51C288B4" w14:textId="77777777" w:rsidR="007D760F" w:rsidRPr="00F2449F" w:rsidRDefault="007D760F" w:rsidP="007B62B8">
      <w:pPr>
        <w:spacing w:line="480" w:lineRule="auto"/>
        <w:ind w:hanging="284"/>
        <w:jc w:val="both"/>
        <w:rPr>
          <w:lang w:val="en-US"/>
        </w:rPr>
      </w:pPr>
      <w:r w:rsidRPr="00F2449F">
        <w:rPr>
          <w:lang w:val="en-US"/>
        </w:rPr>
        <w:t xml:space="preserve">Guercini, S., &amp; Lechner, C., (2021). New challenges for business actors and positive heuristics. </w:t>
      </w:r>
      <w:r w:rsidRPr="00F2449F">
        <w:rPr>
          <w:i/>
          <w:lang w:val="en-US"/>
        </w:rPr>
        <w:t>Management Decision</w:t>
      </w:r>
      <w:r w:rsidRPr="00F2449F">
        <w:rPr>
          <w:lang w:val="en-US"/>
        </w:rPr>
        <w:t xml:space="preserve">, </w:t>
      </w:r>
      <w:r w:rsidRPr="00F2449F">
        <w:rPr>
          <w:i/>
          <w:lang w:val="en-US"/>
        </w:rPr>
        <w:t>59</w:t>
      </w:r>
      <w:r w:rsidRPr="00F2449F">
        <w:rPr>
          <w:lang w:val="en-US"/>
        </w:rPr>
        <w:t>(7), 1585–1597.</w:t>
      </w:r>
    </w:p>
    <w:p w14:paraId="2F033589" w14:textId="77777777" w:rsidR="007D760F" w:rsidRPr="00F2449F" w:rsidRDefault="007D760F" w:rsidP="007B62B8">
      <w:pPr>
        <w:spacing w:line="480" w:lineRule="auto"/>
        <w:ind w:hanging="284"/>
        <w:jc w:val="both"/>
        <w:rPr>
          <w:lang w:val="en-US"/>
        </w:rPr>
      </w:pPr>
      <w:r w:rsidRPr="00F2449F">
        <w:rPr>
          <w:lang w:val="en-US"/>
        </w:rPr>
        <w:t xml:space="preserve">Gulati R., Lawrence P. R., &amp; Puranam P. (2005). Adaptation in vertical relationships: beyond incentive conflict. </w:t>
      </w:r>
      <w:r w:rsidRPr="00F2449F">
        <w:rPr>
          <w:i/>
          <w:iCs/>
          <w:lang w:val="en-US"/>
        </w:rPr>
        <w:t>Strategic Management Journal</w:t>
      </w:r>
      <w:r w:rsidRPr="00F2449F">
        <w:rPr>
          <w:bCs/>
          <w:lang w:val="en-US"/>
        </w:rPr>
        <w:t xml:space="preserve">, </w:t>
      </w:r>
      <w:r w:rsidRPr="00F2449F">
        <w:rPr>
          <w:bCs/>
          <w:i/>
          <w:lang w:val="en-US"/>
        </w:rPr>
        <w:t>26</w:t>
      </w:r>
      <w:r w:rsidRPr="00F2449F">
        <w:rPr>
          <w:lang w:val="en-US"/>
        </w:rPr>
        <w:t>(5), 415–440.</w:t>
      </w:r>
    </w:p>
    <w:p w14:paraId="2929A1F0" w14:textId="77777777" w:rsidR="007D760F" w:rsidRPr="00F2449F" w:rsidRDefault="007D760F" w:rsidP="007B62B8">
      <w:pPr>
        <w:spacing w:line="480" w:lineRule="auto"/>
        <w:ind w:hanging="284"/>
        <w:jc w:val="both"/>
        <w:rPr>
          <w:lang w:val="en-US"/>
        </w:rPr>
      </w:pPr>
      <w:r w:rsidRPr="00F2449F">
        <w:rPr>
          <w:lang w:val="en-US"/>
        </w:rPr>
        <w:t xml:space="preserve">Guler, I., &amp; Guillén, M. F. (2010). Home country networks and foreign expansion: evidence from the venture capital industry. </w:t>
      </w:r>
      <w:r w:rsidRPr="00F2449F">
        <w:rPr>
          <w:i/>
          <w:lang w:val="en-US"/>
        </w:rPr>
        <w:t>Academy of Management</w:t>
      </w:r>
      <w:r w:rsidRPr="00F2449F">
        <w:rPr>
          <w:lang w:val="en-US"/>
        </w:rPr>
        <w:t xml:space="preserve">, </w:t>
      </w:r>
      <w:r w:rsidRPr="00F2449F">
        <w:rPr>
          <w:i/>
          <w:lang w:val="en-US"/>
        </w:rPr>
        <w:t>53</w:t>
      </w:r>
      <w:r w:rsidRPr="00F2449F">
        <w:rPr>
          <w:lang w:val="en-US"/>
        </w:rPr>
        <w:t>(2), 390–410.</w:t>
      </w:r>
    </w:p>
    <w:p w14:paraId="3D362D82" w14:textId="77777777" w:rsidR="007D760F" w:rsidRPr="00F2449F" w:rsidRDefault="007D760F" w:rsidP="007B62B8">
      <w:pPr>
        <w:spacing w:line="480" w:lineRule="auto"/>
        <w:ind w:hanging="284"/>
        <w:jc w:val="both"/>
        <w:rPr>
          <w:lang w:val="en-US"/>
        </w:rPr>
      </w:pPr>
      <w:r w:rsidRPr="00F2449F">
        <w:rPr>
          <w:lang w:val="en-US"/>
        </w:rPr>
        <w:t xml:space="preserve">Hagberg-Andersson, Å. (2006). Does adaptation pay off? </w:t>
      </w:r>
      <w:r w:rsidRPr="00F2449F">
        <w:rPr>
          <w:i/>
          <w:lang w:val="en-US"/>
        </w:rPr>
        <w:t>Industrial Marketing Management</w:t>
      </w:r>
      <w:r w:rsidRPr="00F2449F">
        <w:rPr>
          <w:lang w:val="en-US"/>
        </w:rPr>
        <w:t xml:space="preserve">, </w:t>
      </w:r>
      <w:r w:rsidRPr="00F2449F">
        <w:rPr>
          <w:i/>
          <w:lang w:val="en-US"/>
        </w:rPr>
        <w:t>35</w:t>
      </w:r>
      <w:r w:rsidRPr="00F2449F">
        <w:rPr>
          <w:lang w:val="en-US"/>
        </w:rPr>
        <w:t>(2), 202–209.</w:t>
      </w:r>
    </w:p>
    <w:p w14:paraId="627CAC57" w14:textId="77777777" w:rsidR="007D760F" w:rsidRPr="00F2449F" w:rsidRDefault="007D760F" w:rsidP="007B62B8">
      <w:pPr>
        <w:spacing w:line="480" w:lineRule="auto"/>
        <w:ind w:hanging="284"/>
        <w:jc w:val="both"/>
        <w:rPr>
          <w:lang w:val="en-US"/>
        </w:rPr>
      </w:pPr>
      <w:r w:rsidRPr="00F2449F">
        <w:rPr>
          <w:shd w:val="clear" w:color="auto" w:fill="FFFFFF"/>
          <w:lang w:val="en-US"/>
        </w:rPr>
        <w:t>Håkansson, H., &amp; Snehota, I. (Eds.). (2017). </w:t>
      </w:r>
      <w:r w:rsidRPr="00F2449F">
        <w:rPr>
          <w:rStyle w:val="Enfasicorsivo"/>
          <w:lang w:val="en-US"/>
        </w:rPr>
        <w:t>No business is an island: Making sense of the interactive business world</w:t>
      </w:r>
      <w:r w:rsidRPr="00F2449F">
        <w:rPr>
          <w:shd w:val="clear" w:color="auto" w:fill="FFFFFF"/>
          <w:lang w:val="en-US"/>
        </w:rPr>
        <w:t>. Bingley: Emerald Group Publishing.</w:t>
      </w:r>
    </w:p>
    <w:p w14:paraId="63EC76D2" w14:textId="77777777" w:rsidR="007D760F" w:rsidRPr="00F2449F" w:rsidRDefault="007D760F" w:rsidP="007B62B8">
      <w:pPr>
        <w:spacing w:line="480" w:lineRule="auto"/>
        <w:ind w:hanging="284"/>
        <w:jc w:val="both"/>
        <w:rPr>
          <w:lang w:val="en-US"/>
        </w:rPr>
      </w:pPr>
      <w:r w:rsidRPr="00F2449F">
        <w:rPr>
          <w:shd w:val="clear" w:color="auto" w:fill="FFFFFF"/>
          <w:lang w:val="en-US"/>
        </w:rPr>
        <w:t>Håkansson, H., Havila, V. &amp; Pedersen, A. C. (1999). Learning in networks. </w:t>
      </w:r>
      <w:r w:rsidRPr="00F2449F">
        <w:rPr>
          <w:rStyle w:val="Enfasicorsivo"/>
          <w:lang w:val="en-US"/>
        </w:rPr>
        <w:t>Industrial Marketing Management</w:t>
      </w:r>
      <w:r w:rsidRPr="00F2449F">
        <w:rPr>
          <w:i/>
          <w:shd w:val="clear" w:color="auto" w:fill="FFFFFF"/>
          <w:lang w:val="en-US"/>
        </w:rPr>
        <w:t>, 28</w:t>
      </w:r>
      <w:r w:rsidRPr="00F2449F">
        <w:rPr>
          <w:shd w:val="clear" w:color="auto" w:fill="FFFFFF"/>
          <w:lang w:val="en-US"/>
        </w:rPr>
        <w:t>(5), 443</w:t>
      </w:r>
      <w:r w:rsidRPr="00F2449F">
        <w:rPr>
          <w:lang w:val="en-US"/>
        </w:rPr>
        <w:t>–</w:t>
      </w:r>
      <w:r w:rsidRPr="00F2449F">
        <w:rPr>
          <w:shd w:val="clear" w:color="auto" w:fill="FFFFFF"/>
          <w:lang w:val="en-US"/>
        </w:rPr>
        <w:t>452.</w:t>
      </w:r>
    </w:p>
    <w:p w14:paraId="019741BE" w14:textId="77777777" w:rsidR="007D760F" w:rsidRPr="00F2449F" w:rsidRDefault="007D760F" w:rsidP="007B62B8">
      <w:pPr>
        <w:spacing w:line="480" w:lineRule="auto"/>
        <w:ind w:hanging="284"/>
        <w:jc w:val="both"/>
        <w:rPr>
          <w:lang w:val="en-US"/>
        </w:rPr>
      </w:pPr>
      <w:r w:rsidRPr="00F2449F">
        <w:rPr>
          <w:lang w:val="en-US"/>
        </w:rPr>
        <w:t xml:space="preserve">Halinen, A. (1994). </w:t>
      </w:r>
      <w:r w:rsidRPr="00F2449F">
        <w:rPr>
          <w:i/>
          <w:lang w:val="en-US"/>
        </w:rPr>
        <w:t xml:space="preserve">Exchange Relationships in Professional Services. A Study of Relationship Development in the Advertising Sector, </w:t>
      </w:r>
      <w:r w:rsidRPr="00F2449F">
        <w:rPr>
          <w:lang w:val="en-US"/>
        </w:rPr>
        <w:t xml:space="preserve">Publications of the Turku School of Economics and Business Administration, Series A-6. Turku, Finland. </w:t>
      </w:r>
    </w:p>
    <w:p w14:paraId="22C1B545" w14:textId="77777777" w:rsidR="007D760F" w:rsidRPr="00F2449F" w:rsidRDefault="007D760F" w:rsidP="007B62B8">
      <w:pPr>
        <w:spacing w:line="480" w:lineRule="auto"/>
        <w:ind w:hanging="284"/>
        <w:jc w:val="both"/>
        <w:rPr>
          <w:lang w:val="en-US"/>
        </w:rPr>
      </w:pPr>
      <w:r w:rsidRPr="00F2449F">
        <w:rPr>
          <w:shd w:val="clear" w:color="auto" w:fill="FFFFFF"/>
          <w:lang w:val="en-US"/>
        </w:rPr>
        <w:t>Hallén, L., Johanson, J., &amp; Seyed-Mohamed, N. (1991). Interfirm adaptation in business relationships.</w:t>
      </w:r>
      <w:r w:rsidRPr="00F2449F">
        <w:rPr>
          <w:rStyle w:val="apple-converted-space"/>
          <w:shd w:val="clear" w:color="auto" w:fill="FFFFFF"/>
          <w:lang w:val="en-US"/>
        </w:rPr>
        <w:t> </w:t>
      </w:r>
      <w:r w:rsidRPr="00F2449F">
        <w:rPr>
          <w:i/>
          <w:iCs/>
          <w:lang w:val="en-US"/>
        </w:rPr>
        <w:t>Journal of Marketing</w:t>
      </w:r>
      <w:r w:rsidRPr="00F2449F">
        <w:rPr>
          <w:shd w:val="clear" w:color="auto" w:fill="FFFFFF"/>
          <w:lang w:val="en-US"/>
        </w:rPr>
        <w:t>,</w:t>
      </w:r>
      <w:r w:rsidRPr="00F2449F">
        <w:rPr>
          <w:rStyle w:val="apple-converted-space"/>
          <w:shd w:val="clear" w:color="auto" w:fill="FFFFFF"/>
          <w:lang w:val="en-US"/>
        </w:rPr>
        <w:t> </w:t>
      </w:r>
      <w:r w:rsidRPr="00F2449F">
        <w:rPr>
          <w:i/>
          <w:iCs/>
          <w:lang w:val="en-US"/>
        </w:rPr>
        <w:t>55</w:t>
      </w:r>
      <w:r w:rsidRPr="00F2449F">
        <w:rPr>
          <w:shd w:val="clear" w:color="auto" w:fill="FFFFFF"/>
          <w:lang w:val="en-US"/>
        </w:rPr>
        <w:t>(2), 29–37.</w:t>
      </w:r>
      <w:r w:rsidRPr="00F2449F">
        <w:rPr>
          <w:lang w:val="en-US"/>
        </w:rPr>
        <w:t xml:space="preserve"> </w:t>
      </w:r>
    </w:p>
    <w:p w14:paraId="7C53E816" w14:textId="77777777" w:rsidR="007D760F" w:rsidRPr="00F2449F" w:rsidRDefault="007D760F" w:rsidP="007B62B8">
      <w:pPr>
        <w:spacing w:line="480" w:lineRule="auto"/>
        <w:ind w:hanging="284"/>
        <w:jc w:val="both"/>
        <w:rPr>
          <w:lang w:val="en-US"/>
        </w:rPr>
      </w:pPr>
      <w:r w:rsidRPr="00F2449F">
        <w:rPr>
          <w:shd w:val="clear" w:color="auto" w:fill="FFFFFF"/>
          <w:lang w:val="en-US"/>
        </w:rPr>
        <w:lastRenderedPageBreak/>
        <w:t xml:space="preserve">Heide, J. B. and John, G. (1992). Do norms matter in marketing relationships? </w:t>
      </w:r>
      <w:r w:rsidRPr="00F2449F">
        <w:rPr>
          <w:i/>
          <w:shd w:val="clear" w:color="auto" w:fill="FFFFFF"/>
          <w:lang w:val="en-US"/>
        </w:rPr>
        <w:t>Journal of Marketing</w:t>
      </w:r>
      <w:r w:rsidRPr="00F2449F">
        <w:rPr>
          <w:shd w:val="clear" w:color="auto" w:fill="FFFFFF"/>
          <w:lang w:val="en-US"/>
        </w:rPr>
        <w:t xml:space="preserve">, </w:t>
      </w:r>
      <w:r w:rsidRPr="00F2449F">
        <w:rPr>
          <w:i/>
          <w:shd w:val="clear" w:color="auto" w:fill="FFFFFF"/>
          <w:lang w:val="en-US"/>
        </w:rPr>
        <w:t>56</w:t>
      </w:r>
      <w:r w:rsidRPr="00F2449F">
        <w:rPr>
          <w:shd w:val="clear" w:color="auto" w:fill="FFFFFF"/>
          <w:lang w:val="en-US"/>
        </w:rPr>
        <w:t>, 32</w:t>
      </w:r>
      <w:r w:rsidRPr="00F2449F">
        <w:rPr>
          <w:lang w:val="en-US"/>
        </w:rPr>
        <w:t>–</w:t>
      </w:r>
      <w:r w:rsidRPr="00F2449F">
        <w:rPr>
          <w:shd w:val="clear" w:color="auto" w:fill="FFFFFF"/>
          <w:lang w:val="en-US"/>
        </w:rPr>
        <w:t>44.</w:t>
      </w:r>
    </w:p>
    <w:p w14:paraId="39FB9F66" w14:textId="77777777" w:rsidR="007D760F" w:rsidRPr="00F2449F" w:rsidRDefault="007D760F" w:rsidP="007B62B8">
      <w:pPr>
        <w:spacing w:line="480" w:lineRule="auto"/>
        <w:ind w:hanging="284"/>
        <w:jc w:val="both"/>
        <w:rPr>
          <w:lang w:val="en-US"/>
        </w:rPr>
      </w:pPr>
      <w:r w:rsidRPr="00F2449F">
        <w:rPr>
          <w:lang w:val="en-US"/>
        </w:rPr>
        <w:t xml:space="preserve">Henry, D., &amp; Ramirez-Marquez, J. E. (2017). On the impacts of power outages during hurricane Sandy-A resilience-based analysis. </w:t>
      </w:r>
      <w:r w:rsidRPr="00F2449F">
        <w:rPr>
          <w:i/>
          <w:iCs/>
          <w:lang w:val="en-US"/>
        </w:rPr>
        <w:t>Systems Engineering, 19</w:t>
      </w:r>
      <w:r w:rsidRPr="00F2449F">
        <w:rPr>
          <w:lang w:val="en-US"/>
        </w:rPr>
        <w:t>(1), 59–75.</w:t>
      </w:r>
    </w:p>
    <w:p w14:paraId="051ED09E" w14:textId="77777777" w:rsidR="007D760F" w:rsidRPr="00F2449F" w:rsidRDefault="007D760F" w:rsidP="007B62B8">
      <w:pPr>
        <w:pStyle w:val="Titolo1"/>
        <w:spacing w:before="0" w:line="480" w:lineRule="auto"/>
        <w:ind w:hanging="284"/>
        <w:jc w:val="both"/>
        <w:rPr>
          <w:rFonts w:ascii="Times New Roman" w:hAnsi="Times New Roman" w:cs="Times New Roman"/>
          <w:i/>
          <w:color w:val="auto"/>
          <w:sz w:val="24"/>
          <w:szCs w:val="24"/>
          <w:shd w:val="clear" w:color="auto" w:fill="FFFFFF"/>
          <w:lang w:val="en-US"/>
        </w:rPr>
      </w:pPr>
      <w:r w:rsidRPr="00F2449F">
        <w:rPr>
          <w:rFonts w:ascii="Times New Roman" w:hAnsi="Times New Roman" w:cs="Times New Roman"/>
          <w:color w:val="auto"/>
          <w:sz w:val="24"/>
          <w:szCs w:val="24"/>
          <w:shd w:val="clear" w:color="auto" w:fill="FFFFFF"/>
          <w:lang w:val="en-US"/>
        </w:rPr>
        <w:t xml:space="preserve">Hillmann, J., &amp; Guenther, E. (2021). Organizational resilience: A valuable construct for management </w:t>
      </w:r>
      <w:proofErr w:type="gramStart"/>
      <w:r w:rsidRPr="00F2449F">
        <w:rPr>
          <w:rFonts w:ascii="Times New Roman" w:hAnsi="Times New Roman" w:cs="Times New Roman"/>
          <w:color w:val="auto"/>
          <w:sz w:val="24"/>
          <w:szCs w:val="24"/>
          <w:shd w:val="clear" w:color="auto" w:fill="FFFFFF"/>
          <w:lang w:val="en-US"/>
        </w:rPr>
        <w:t>research?.</w:t>
      </w:r>
      <w:proofErr w:type="gramEnd"/>
      <w:r w:rsidRPr="00F2449F">
        <w:rPr>
          <w:rFonts w:ascii="Times New Roman" w:hAnsi="Times New Roman" w:cs="Times New Roman"/>
          <w:color w:val="auto"/>
          <w:sz w:val="24"/>
          <w:szCs w:val="24"/>
          <w:shd w:val="clear" w:color="auto" w:fill="FFFFFF"/>
          <w:lang w:val="en-US"/>
        </w:rPr>
        <w:t xml:space="preserve"> </w:t>
      </w:r>
      <w:r w:rsidRPr="00F2449F">
        <w:rPr>
          <w:rFonts w:ascii="Times New Roman" w:hAnsi="Times New Roman" w:cs="Times New Roman"/>
          <w:i/>
          <w:color w:val="auto"/>
          <w:sz w:val="24"/>
          <w:szCs w:val="24"/>
          <w:shd w:val="clear" w:color="auto" w:fill="FFFFFF"/>
          <w:lang w:val="en-US"/>
        </w:rPr>
        <w:t>British Academy of Management</w:t>
      </w:r>
      <w:r w:rsidRPr="00F2449F">
        <w:rPr>
          <w:rFonts w:ascii="Times New Roman" w:hAnsi="Times New Roman" w:cs="Times New Roman"/>
          <w:color w:val="auto"/>
          <w:sz w:val="24"/>
          <w:szCs w:val="24"/>
          <w:shd w:val="clear" w:color="auto" w:fill="FFFFFF"/>
          <w:lang w:val="en-US"/>
        </w:rPr>
        <w:t>, 23(1), 7–44.</w:t>
      </w:r>
    </w:p>
    <w:p w14:paraId="0A35F898" w14:textId="77777777" w:rsidR="007D760F" w:rsidRPr="00F2449F" w:rsidRDefault="007D760F" w:rsidP="007B62B8">
      <w:pPr>
        <w:pStyle w:val="Titolo1"/>
        <w:spacing w:before="0" w:line="480" w:lineRule="auto"/>
        <w:ind w:hanging="284"/>
        <w:jc w:val="both"/>
        <w:rPr>
          <w:rFonts w:ascii="Times New Roman" w:hAnsi="Times New Roman" w:cs="Times New Roman"/>
          <w:b/>
          <w:color w:val="auto"/>
          <w:sz w:val="24"/>
          <w:szCs w:val="24"/>
          <w:lang w:val="en-US"/>
        </w:rPr>
      </w:pPr>
      <w:r w:rsidRPr="00F2449F">
        <w:rPr>
          <w:rFonts w:ascii="Times New Roman" w:hAnsi="Times New Roman" w:cs="Times New Roman"/>
          <w:color w:val="auto"/>
          <w:sz w:val="24"/>
          <w:szCs w:val="24"/>
          <w:shd w:val="clear" w:color="auto" w:fill="FFFFFF"/>
          <w:lang w:val="en-US"/>
        </w:rPr>
        <w:t xml:space="preserve">Hoffman, W. H. (2007). </w:t>
      </w:r>
      <w:r w:rsidRPr="00F2449F">
        <w:rPr>
          <w:rFonts w:ascii="Times New Roman" w:hAnsi="Times New Roman" w:cs="Times New Roman"/>
          <w:color w:val="auto"/>
          <w:sz w:val="24"/>
          <w:szCs w:val="24"/>
          <w:lang w:val="en-US"/>
        </w:rPr>
        <w:t xml:space="preserve">Strategies for managing a portfolio of alliances. </w:t>
      </w:r>
      <w:r w:rsidRPr="00F2449F">
        <w:rPr>
          <w:rFonts w:ascii="Times New Roman" w:hAnsi="Times New Roman" w:cs="Times New Roman"/>
          <w:i/>
          <w:color w:val="auto"/>
          <w:sz w:val="24"/>
          <w:szCs w:val="24"/>
          <w:lang w:val="en-US"/>
        </w:rPr>
        <w:t>Strategic Management Journal</w:t>
      </w:r>
      <w:r w:rsidRPr="00F2449F">
        <w:rPr>
          <w:rFonts w:ascii="Times New Roman" w:hAnsi="Times New Roman" w:cs="Times New Roman"/>
          <w:color w:val="auto"/>
          <w:sz w:val="24"/>
          <w:szCs w:val="24"/>
          <w:lang w:val="en-US"/>
        </w:rPr>
        <w:t xml:space="preserve">, </w:t>
      </w:r>
      <w:r w:rsidRPr="00F2449F">
        <w:rPr>
          <w:rFonts w:ascii="Times New Roman" w:hAnsi="Times New Roman" w:cs="Times New Roman"/>
          <w:i/>
          <w:color w:val="auto"/>
          <w:sz w:val="24"/>
          <w:szCs w:val="24"/>
          <w:lang w:val="en-US"/>
        </w:rPr>
        <w:t>28</w:t>
      </w:r>
      <w:r w:rsidRPr="00F2449F">
        <w:rPr>
          <w:rFonts w:ascii="Times New Roman" w:hAnsi="Times New Roman" w:cs="Times New Roman"/>
          <w:color w:val="auto"/>
          <w:sz w:val="24"/>
          <w:szCs w:val="24"/>
          <w:lang w:val="en-US"/>
        </w:rPr>
        <w:t>(8), 827</w:t>
      </w:r>
      <w:r w:rsidRPr="00F2449F">
        <w:rPr>
          <w:rFonts w:ascii="Times New Roman" w:hAnsi="Times New Roman" w:cs="Times New Roman"/>
          <w:color w:val="auto"/>
          <w:sz w:val="24"/>
          <w:szCs w:val="24"/>
          <w:shd w:val="clear" w:color="auto" w:fill="FFFFFF"/>
          <w:lang w:val="en-US"/>
        </w:rPr>
        <w:t>–</w:t>
      </w:r>
      <w:r w:rsidRPr="00F2449F">
        <w:rPr>
          <w:rFonts w:ascii="Times New Roman" w:hAnsi="Times New Roman" w:cs="Times New Roman"/>
          <w:color w:val="auto"/>
          <w:sz w:val="24"/>
          <w:szCs w:val="24"/>
          <w:lang w:val="en-US"/>
        </w:rPr>
        <w:t>856.</w:t>
      </w:r>
    </w:p>
    <w:p w14:paraId="538EA5BA" w14:textId="77777777" w:rsidR="007D760F" w:rsidRPr="00F2449F" w:rsidRDefault="007D760F" w:rsidP="007B62B8">
      <w:pPr>
        <w:pStyle w:val="Titolo1"/>
        <w:spacing w:before="0" w:line="480" w:lineRule="auto"/>
        <w:ind w:hanging="284"/>
        <w:jc w:val="both"/>
        <w:rPr>
          <w:rFonts w:ascii="Times New Roman" w:hAnsi="Times New Roman" w:cs="Times New Roman"/>
          <w:b/>
          <w:color w:val="auto"/>
          <w:sz w:val="24"/>
          <w:szCs w:val="24"/>
          <w:lang w:val="en-US"/>
        </w:rPr>
      </w:pPr>
      <w:r w:rsidRPr="00F2449F">
        <w:rPr>
          <w:rFonts w:ascii="Times New Roman" w:eastAsiaTheme="minorHAnsi" w:hAnsi="Times New Roman" w:cs="Times New Roman"/>
          <w:color w:val="auto"/>
          <w:sz w:val="24"/>
          <w:szCs w:val="24"/>
          <w:lang w:val="en-US" w:eastAsia="en-US"/>
        </w:rPr>
        <w:t xml:space="preserve">Holling, C. S. (1973). Resilience and stability of ecological systems. </w:t>
      </w:r>
      <w:r w:rsidRPr="00F2449F">
        <w:rPr>
          <w:rFonts w:ascii="Times New Roman" w:eastAsiaTheme="minorHAnsi" w:hAnsi="Times New Roman" w:cs="Times New Roman"/>
          <w:i/>
          <w:iCs/>
          <w:color w:val="auto"/>
          <w:sz w:val="24"/>
          <w:szCs w:val="24"/>
          <w:lang w:val="en-US" w:eastAsia="en-US"/>
        </w:rPr>
        <w:t>Annual Review of Ecology and Systematics, 4</w:t>
      </w:r>
      <w:r w:rsidRPr="00F2449F">
        <w:rPr>
          <w:rFonts w:ascii="Times New Roman" w:eastAsiaTheme="minorHAnsi" w:hAnsi="Times New Roman" w:cs="Times New Roman"/>
          <w:color w:val="auto"/>
          <w:sz w:val="24"/>
          <w:szCs w:val="24"/>
          <w:lang w:val="en-US" w:eastAsia="en-US"/>
        </w:rPr>
        <w:t>(1), 1–23.</w:t>
      </w:r>
    </w:p>
    <w:p w14:paraId="2278A77D" w14:textId="77777777" w:rsidR="007D760F" w:rsidRPr="00F2449F" w:rsidRDefault="007D760F" w:rsidP="007B62B8">
      <w:pPr>
        <w:spacing w:line="480" w:lineRule="auto"/>
        <w:ind w:hanging="284"/>
        <w:jc w:val="both"/>
        <w:rPr>
          <w:bCs/>
          <w:lang w:val="en-US"/>
        </w:rPr>
      </w:pPr>
      <w:r w:rsidRPr="00F2449F">
        <w:rPr>
          <w:lang w:val="en-US"/>
        </w:rPr>
        <w:t xml:space="preserve">Ivanov, D. (2021). </w:t>
      </w:r>
      <w:r w:rsidRPr="00F2449F">
        <w:rPr>
          <w:bCs/>
          <w:lang w:val="en-US"/>
        </w:rPr>
        <w:t xml:space="preserve">Supply Chain Viability and the COVID-19 pandemic: a conceptual and formal generalisation of four major adaptation strategies. </w:t>
      </w:r>
      <w:r w:rsidRPr="00F2449F">
        <w:rPr>
          <w:bCs/>
          <w:i/>
          <w:lang w:val="en-US"/>
        </w:rPr>
        <w:t>International Journal of Production Research</w:t>
      </w:r>
      <w:r w:rsidRPr="00F2449F">
        <w:rPr>
          <w:bCs/>
          <w:lang w:val="en-US"/>
        </w:rPr>
        <w:t xml:space="preserve">, </w:t>
      </w:r>
      <w:r w:rsidRPr="00F2449F">
        <w:rPr>
          <w:bCs/>
          <w:i/>
          <w:lang w:val="en-US"/>
        </w:rPr>
        <w:t>59</w:t>
      </w:r>
      <w:r w:rsidRPr="00F2449F">
        <w:rPr>
          <w:bCs/>
          <w:lang w:val="en-US"/>
        </w:rPr>
        <w:t>(12), 3535</w:t>
      </w:r>
      <w:r w:rsidRPr="00F2449F">
        <w:rPr>
          <w:lang w:val="en-US"/>
        </w:rPr>
        <w:t>–</w:t>
      </w:r>
      <w:r w:rsidRPr="00F2449F">
        <w:rPr>
          <w:bCs/>
          <w:lang w:val="en-US"/>
        </w:rPr>
        <w:t>3552.</w:t>
      </w:r>
    </w:p>
    <w:p w14:paraId="09BE34DD" w14:textId="77777777" w:rsidR="007D760F" w:rsidRPr="00F2449F" w:rsidRDefault="007D760F" w:rsidP="007B62B8">
      <w:pPr>
        <w:spacing w:line="480" w:lineRule="auto"/>
        <w:ind w:hanging="284"/>
        <w:jc w:val="both"/>
        <w:rPr>
          <w:lang w:val="en-US"/>
        </w:rPr>
      </w:pPr>
      <w:r w:rsidRPr="00F2449F">
        <w:rPr>
          <w:lang w:val="en-US"/>
        </w:rPr>
        <w:t xml:space="preserve">Ivanov, D., &amp; Dolgui, A. (2021). Or-methods for coping with the ripple effect in supply chains during COVID-19 pandemic: Managerial insights and research implications. </w:t>
      </w:r>
      <w:r w:rsidRPr="00F2449F">
        <w:rPr>
          <w:i/>
          <w:iCs/>
          <w:lang w:val="en-US"/>
        </w:rPr>
        <w:t xml:space="preserve">International Journal of Production Economics, </w:t>
      </w:r>
      <w:r w:rsidRPr="00F2449F">
        <w:rPr>
          <w:i/>
          <w:lang w:val="en-US"/>
        </w:rPr>
        <w:t>232</w:t>
      </w:r>
      <w:r w:rsidRPr="00F2449F">
        <w:rPr>
          <w:lang w:val="en-US"/>
        </w:rPr>
        <w:t>, 107921.</w:t>
      </w:r>
    </w:p>
    <w:p w14:paraId="60FEBC94" w14:textId="77777777" w:rsidR="007D760F" w:rsidRPr="00F2449F" w:rsidRDefault="007D760F" w:rsidP="007B62B8">
      <w:pPr>
        <w:spacing w:line="480" w:lineRule="auto"/>
        <w:ind w:hanging="284"/>
        <w:jc w:val="both"/>
        <w:rPr>
          <w:shd w:val="clear" w:color="auto" w:fill="FCFCFC"/>
          <w:lang w:val="en-US"/>
        </w:rPr>
      </w:pPr>
      <w:r w:rsidRPr="00F2449F">
        <w:rPr>
          <w:lang w:val="en-US"/>
        </w:rPr>
        <w:t xml:space="preserve">Johnson, J. S. (2015). Qualitative sales research: an exposition of grounded theory. </w:t>
      </w:r>
      <w:r w:rsidRPr="00F2449F">
        <w:rPr>
          <w:i/>
          <w:lang w:val="en-US"/>
        </w:rPr>
        <w:t>Journal of Personal Selling &amp; Sales Management,</w:t>
      </w:r>
      <w:r w:rsidRPr="00F2449F">
        <w:rPr>
          <w:lang w:val="en-US"/>
        </w:rPr>
        <w:t xml:space="preserve"> </w:t>
      </w:r>
      <w:r w:rsidRPr="00F2449F">
        <w:rPr>
          <w:i/>
          <w:lang w:val="en-US"/>
        </w:rPr>
        <w:t>35</w:t>
      </w:r>
      <w:r w:rsidRPr="00F2449F">
        <w:rPr>
          <w:lang w:val="en-US"/>
        </w:rPr>
        <w:t>(3), 262–273.</w:t>
      </w:r>
    </w:p>
    <w:p w14:paraId="27955FBF" w14:textId="77777777" w:rsidR="007D760F" w:rsidRPr="00F2449F" w:rsidRDefault="007D760F" w:rsidP="007B62B8">
      <w:pPr>
        <w:spacing w:line="480" w:lineRule="auto"/>
        <w:ind w:hanging="284"/>
        <w:jc w:val="both"/>
        <w:rPr>
          <w:lang w:val="en-US"/>
        </w:rPr>
      </w:pPr>
      <w:r w:rsidRPr="00F2449F">
        <w:rPr>
          <w:lang w:val="en-US"/>
        </w:rPr>
        <w:t xml:space="preserve">Joseph, J., &amp; Ocasio, W. (2012). Architecture, attention, and adaptation in the multibusiness firm: General electric from 1951 to 2001. </w:t>
      </w:r>
      <w:r w:rsidRPr="00F2449F">
        <w:rPr>
          <w:i/>
          <w:lang w:val="en-US"/>
        </w:rPr>
        <w:t>Strategic Management Journal</w:t>
      </w:r>
      <w:r w:rsidRPr="00F2449F">
        <w:rPr>
          <w:lang w:val="en-US"/>
        </w:rPr>
        <w:t xml:space="preserve">, </w:t>
      </w:r>
      <w:r w:rsidRPr="00F2449F">
        <w:rPr>
          <w:i/>
          <w:lang w:val="en-US"/>
        </w:rPr>
        <w:t>33</w:t>
      </w:r>
      <w:r w:rsidRPr="00F2449F">
        <w:rPr>
          <w:lang w:val="en-US"/>
        </w:rPr>
        <w:t>(6), 633–660.</w:t>
      </w:r>
    </w:p>
    <w:p w14:paraId="2886DE08" w14:textId="77777777" w:rsidR="007D760F" w:rsidRPr="00F2449F" w:rsidRDefault="007D760F" w:rsidP="007B62B8">
      <w:pPr>
        <w:spacing w:line="480" w:lineRule="auto"/>
        <w:ind w:hanging="284"/>
        <w:jc w:val="both"/>
        <w:rPr>
          <w:shd w:val="clear" w:color="auto" w:fill="FCFCFC"/>
          <w:lang w:val="en-US"/>
        </w:rPr>
      </w:pPr>
      <w:r w:rsidRPr="00F2449F">
        <w:rPr>
          <w:lang w:val="en-US"/>
        </w:rPr>
        <w:t xml:space="preserve">Joshi, A. W., &amp; Campbell, A. J. (2003). </w:t>
      </w:r>
      <w:r w:rsidRPr="00F2449F">
        <w:rPr>
          <w:bCs/>
          <w:lang w:val="en-US"/>
        </w:rPr>
        <w:t xml:space="preserve">Effect of environmental dynamism on relational governance in manufacturer-supplier relationships: A contingency framework and an empirical test. </w:t>
      </w:r>
      <w:r w:rsidRPr="00F2449F">
        <w:rPr>
          <w:bCs/>
          <w:i/>
          <w:lang w:val="en-US"/>
        </w:rPr>
        <w:t>Journal of the Academy of Marketing Science</w:t>
      </w:r>
      <w:r w:rsidRPr="00F2449F">
        <w:rPr>
          <w:bCs/>
          <w:lang w:val="en-US"/>
        </w:rPr>
        <w:t xml:space="preserve">, </w:t>
      </w:r>
      <w:r w:rsidRPr="00F2449F">
        <w:rPr>
          <w:bCs/>
          <w:i/>
          <w:lang w:val="en-US"/>
        </w:rPr>
        <w:t>31</w:t>
      </w:r>
      <w:r w:rsidRPr="00F2449F">
        <w:rPr>
          <w:shd w:val="clear" w:color="auto" w:fill="FCFCFC"/>
          <w:lang w:val="en-US"/>
        </w:rPr>
        <w:t>, 176–188.</w:t>
      </w:r>
    </w:p>
    <w:p w14:paraId="5900A2DC" w14:textId="77777777" w:rsidR="007D760F" w:rsidRPr="00F2449F" w:rsidRDefault="007D760F" w:rsidP="007B62B8">
      <w:pPr>
        <w:spacing w:line="480" w:lineRule="auto"/>
        <w:ind w:hanging="284"/>
        <w:jc w:val="both"/>
        <w:rPr>
          <w:lang w:val="en-US"/>
        </w:rPr>
      </w:pPr>
      <w:r w:rsidRPr="00F2449F">
        <w:rPr>
          <w:lang w:val="en-US"/>
        </w:rPr>
        <w:t xml:space="preserve">Joshi, A., Dencker, J. C., &amp; Franz, G. (2011). Generations in organizations. </w:t>
      </w:r>
      <w:r w:rsidRPr="00F2449F">
        <w:rPr>
          <w:i/>
          <w:lang w:val="en-US"/>
        </w:rPr>
        <w:t>Research in Organizational Behavior</w:t>
      </w:r>
      <w:r w:rsidRPr="00F2449F">
        <w:rPr>
          <w:lang w:val="en-US"/>
        </w:rPr>
        <w:t xml:space="preserve">, </w:t>
      </w:r>
      <w:r w:rsidRPr="00F2449F">
        <w:rPr>
          <w:i/>
          <w:lang w:val="en-US"/>
        </w:rPr>
        <w:t>31</w:t>
      </w:r>
      <w:r w:rsidRPr="00F2449F">
        <w:rPr>
          <w:lang w:val="en-US"/>
        </w:rPr>
        <w:t>, 177</w:t>
      </w:r>
      <w:r w:rsidRPr="00F2449F">
        <w:rPr>
          <w:shd w:val="clear" w:color="auto" w:fill="FCFCFC"/>
          <w:lang w:val="en-US"/>
        </w:rPr>
        <w:t>–</w:t>
      </w:r>
      <w:r w:rsidRPr="00F2449F">
        <w:rPr>
          <w:lang w:val="en-US"/>
        </w:rPr>
        <w:t>205.</w:t>
      </w:r>
    </w:p>
    <w:p w14:paraId="0874B67B" w14:textId="77777777" w:rsidR="007D760F" w:rsidRPr="00F2449F" w:rsidRDefault="007D760F" w:rsidP="007B62B8">
      <w:pPr>
        <w:spacing w:line="480" w:lineRule="auto"/>
        <w:ind w:hanging="284"/>
        <w:jc w:val="both"/>
        <w:rPr>
          <w:lang w:val="en-US"/>
        </w:rPr>
      </w:pPr>
      <w:r w:rsidRPr="00F2449F">
        <w:rPr>
          <w:lang w:val="en-US"/>
        </w:rPr>
        <w:t xml:space="preserve">Kahneman, D., &amp; Tversky, A. (1982). Variants of uncertainty. </w:t>
      </w:r>
      <w:r w:rsidRPr="00F2449F">
        <w:rPr>
          <w:i/>
          <w:lang w:val="en-US"/>
        </w:rPr>
        <w:t>Cognition</w:t>
      </w:r>
      <w:r w:rsidRPr="00F2449F">
        <w:rPr>
          <w:lang w:val="en-US"/>
        </w:rPr>
        <w:t xml:space="preserve">, </w:t>
      </w:r>
      <w:r w:rsidRPr="00F2449F">
        <w:rPr>
          <w:i/>
          <w:lang w:val="en-US"/>
        </w:rPr>
        <w:t>11</w:t>
      </w:r>
      <w:r w:rsidRPr="00F2449F">
        <w:rPr>
          <w:lang w:val="en-US"/>
        </w:rPr>
        <w:t>(2), 143</w:t>
      </w:r>
      <w:r w:rsidRPr="00F2449F">
        <w:rPr>
          <w:shd w:val="clear" w:color="auto" w:fill="FCFCFC"/>
          <w:lang w:val="en-US"/>
        </w:rPr>
        <w:t>–</w:t>
      </w:r>
      <w:r w:rsidRPr="00F2449F">
        <w:rPr>
          <w:lang w:val="en-US"/>
        </w:rPr>
        <w:t>157.</w:t>
      </w:r>
    </w:p>
    <w:p w14:paraId="00893706" w14:textId="77777777" w:rsidR="007D760F" w:rsidRPr="00F2449F" w:rsidRDefault="007D760F" w:rsidP="007B62B8">
      <w:pPr>
        <w:spacing w:line="480" w:lineRule="auto"/>
        <w:ind w:hanging="284"/>
        <w:jc w:val="both"/>
        <w:rPr>
          <w:lang w:val="en-US"/>
        </w:rPr>
      </w:pPr>
      <w:r w:rsidRPr="00F2449F">
        <w:rPr>
          <w:lang w:val="en-US"/>
        </w:rPr>
        <w:lastRenderedPageBreak/>
        <w:t xml:space="preserve">Knudsen, T., &amp; Levinthal, D. A. (2007). Two faces of the search: Alternative generation and alternative evaluation. </w:t>
      </w:r>
      <w:r w:rsidRPr="00F2449F">
        <w:rPr>
          <w:i/>
          <w:lang w:val="en-US"/>
        </w:rPr>
        <w:t>Organization Science</w:t>
      </w:r>
      <w:r w:rsidRPr="00F2449F">
        <w:rPr>
          <w:lang w:val="en-US"/>
        </w:rPr>
        <w:t xml:space="preserve">, </w:t>
      </w:r>
      <w:r w:rsidRPr="00F2449F">
        <w:rPr>
          <w:i/>
          <w:lang w:val="en-US"/>
        </w:rPr>
        <w:t>18</w:t>
      </w:r>
      <w:r w:rsidRPr="00F2449F">
        <w:rPr>
          <w:lang w:val="en-US"/>
        </w:rPr>
        <w:t>(1), 39</w:t>
      </w:r>
      <w:r w:rsidRPr="00F2449F">
        <w:rPr>
          <w:shd w:val="clear" w:color="auto" w:fill="FCFCFC"/>
          <w:lang w:val="en-US"/>
        </w:rPr>
        <w:t>–54.</w:t>
      </w:r>
    </w:p>
    <w:p w14:paraId="2B108659" w14:textId="77777777" w:rsidR="007D760F" w:rsidRPr="00F2449F" w:rsidRDefault="007D760F" w:rsidP="007B62B8">
      <w:pPr>
        <w:spacing w:line="480" w:lineRule="auto"/>
        <w:ind w:hanging="284"/>
        <w:jc w:val="both"/>
        <w:rPr>
          <w:lang w:val="en-US"/>
        </w:rPr>
      </w:pPr>
      <w:r w:rsidRPr="00F2449F">
        <w:rPr>
          <w:lang w:val="en-US"/>
        </w:rPr>
        <w:t xml:space="preserve">Lin, W. L., Ho, J., &amp; Sambasivan, M. (2019). Impact of corporate political activity on the relationship between corporate social responsibility and financial performance: A dynamic panel data approach. </w:t>
      </w:r>
      <w:r w:rsidRPr="00F2449F">
        <w:rPr>
          <w:i/>
          <w:lang w:val="en-US"/>
        </w:rPr>
        <w:t>Sustainability, 11</w:t>
      </w:r>
      <w:r w:rsidRPr="00F2449F">
        <w:rPr>
          <w:lang w:val="en-US"/>
        </w:rPr>
        <w:t>(1), 1–22.</w:t>
      </w:r>
    </w:p>
    <w:p w14:paraId="33FEBB68" w14:textId="77777777" w:rsidR="007D760F" w:rsidRPr="00F2449F" w:rsidRDefault="007D760F" w:rsidP="007B62B8">
      <w:pPr>
        <w:spacing w:line="480" w:lineRule="auto"/>
        <w:ind w:hanging="284"/>
        <w:jc w:val="both"/>
        <w:rPr>
          <w:shd w:val="clear" w:color="auto" w:fill="FCFCFC"/>
          <w:lang w:val="en-US"/>
        </w:rPr>
      </w:pPr>
      <w:r w:rsidRPr="00F2449F">
        <w:rPr>
          <w:lang w:val="en-US"/>
        </w:rPr>
        <w:t xml:space="preserve">Macdonald, J. R., Zobel, C. W., Melnyk, S. A., &amp; Griffis, S. E. (2018). Supply chain risk and resilience: Theory building through structured experiments and simulation. </w:t>
      </w:r>
      <w:r w:rsidRPr="00F2449F">
        <w:rPr>
          <w:i/>
          <w:iCs/>
          <w:lang w:val="en-US"/>
        </w:rPr>
        <w:t>International Journal of Production Research</w:t>
      </w:r>
      <w:r w:rsidRPr="00F2449F">
        <w:rPr>
          <w:iCs/>
          <w:lang w:val="en-US"/>
        </w:rPr>
        <w:t>,</w:t>
      </w:r>
      <w:r w:rsidRPr="00F2449F">
        <w:rPr>
          <w:i/>
          <w:iCs/>
          <w:lang w:val="en-US"/>
        </w:rPr>
        <w:t xml:space="preserve"> </w:t>
      </w:r>
      <w:r w:rsidRPr="00F2449F">
        <w:rPr>
          <w:i/>
          <w:lang w:val="en-US"/>
        </w:rPr>
        <w:t>56</w:t>
      </w:r>
      <w:r w:rsidRPr="00F2449F">
        <w:rPr>
          <w:lang w:val="en-US"/>
        </w:rPr>
        <w:t xml:space="preserve">(12), 4337–4355. </w:t>
      </w:r>
    </w:p>
    <w:p w14:paraId="4E68572A" w14:textId="77777777" w:rsidR="007D760F" w:rsidRPr="00F2449F" w:rsidRDefault="007D760F" w:rsidP="007B62B8">
      <w:pPr>
        <w:pStyle w:val="NormaleWeb"/>
        <w:spacing w:before="0" w:beforeAutospacing="0" w:after="0" w:afterAutospacing="0" w:line="480" w:lineRule="auto"/>
        <w:ind w:hanging="284"/>
        <w:jc w:val="both"/>
        <w:rPr>
          <w:lang w:val="en-US"/>
        </w:rPr>
      </w:pPr>
      <w:r w:rsidRPr="00F2449F">
        <w:rPr>
          <w:shd w:val="clear" w:color="auto" w:fill="FCFCFC"/>
          <w:lang w:val="en-US"/>
        </w:rPr>
        <w:t xml:space="preserve">Magnani, G., &amp; Zucchella, A. (2019). </w:t>
      </w:r>
      <w:r w:rsidRPr="00F2449F">
        <w:rPr>
          <w:lang w:val="en-US"/>
        </w:rPr>
        <w:t xml:space="preserve">Coping with uncertainty in internationalization strategy: An exploratory study on entrepreneurial firms. </w:t>
      </w:r>
      <w:r w:rsidRPr="00F2449F">
        <w:rPr>
          <w:i/>
          <w:lang w:val="en-US"/>
        </w:rPr>
        <w:t>International Marketing Review</w:t>
      </w:r>
      <w:r w:rsidRPr="00F2449F">
        <w:rPr>
          <w:lang w:val="en-US"/>
        </w:rPr>
        <w:t xml:space="preserve">, </w:t>
      </w:r>
      <w:r w:rsidRPr="00F2449F">
        <w:rPr>
          <w:i/>
          <w:lang w:val="en-US"/>
        </w:rPr>
        <w:t>36</w:t>
      </w:r>
      <w:r w:rsidRPr="00F2449F">
        <w:rPr>
          <w:lang w:val="en-US"/>
        </w:rPr>
        <w:t>(1), 131–163.</w:t>
      </w:r>
    </w:p>
    <w:p w14:paraId="13E4C84E" w14:textId="77777777" w:rsidR="007D760F" w:rsidRPr="00F2449F" w:rsidRDefault="007D760F" w:rsidP="007B62B8">
      <w:pPr>
        <w:pStyle w:val="NormaleWeb"/>
        <w:spacing w:before="0" w:beforeAutospacing="0" w:after="0" w:afterAutospacing="0" w:line="480" w:lineRule="auto"/>
        <w:ind w:hanging="284"/>
        <w:jc w:val="both"/>
        <w:rPr>
          <w:rFonts w:eastAsiaTheme="minorHAnsi"/>
          <w:lang w:val="en-US" w:eastAsia="en-US"/>
        </w:rPr>
      </w:pPr>
      <w:r w:rsidRPr="00F2449F">
        <w:rPr>
          <w:rFonts w:eastAsiaTheme="minorHAnsi"/>
          <w:lang w:val="en-US" w:eastAsia="en-US"/>
        </w:rPr>
        <w:t xml:space="preserve">Mehrotra, S., Rahimian, H., Barah, M., Luo, F., &amp; Schantz, K. (2020). A model of supply-chain decisions for resource sharing with an application to ventilator allocation to combat COVID-19. </w:t>
      </w:r>
      <w:r w:rsidRPr="00F2449F">
        <w:rPr>
          <w:rFonts w:eastAsiaTheme="minorHAnsi"/>
          <w:i/>
          <w:iCs/>
          <w:lang w:val="en-US" w:eastAsia="en-US"/>
        </w:rPr>
        <w:t xml:space="preserve">Naval Research Logistics (NRL), </w:t>
      </w:r>
      <w:r w:rsidRPr="00F2449F">
        <w:rPr>
          <w:rFonts w:eastAsiaTheme="minorHAnsi"/>
          <w:i/>
          <w:lang w:val="en-US" w:eastAsia="en-US"/>
        </w:rPr>
        <w:t>67</w:t>
      </w:r>
      <w:r w:rsidRPr="00F2449F">
        <w:rPr>
          <w:rFonts w:eastAsiaTheme="minorHAnsi"/>
          <w:lang w:val="en-US" w:eastAsia="en-US"/>
        </w:rPr>
        <w:t>(5), 303–320.</w:t>
      </w:r>
    </w:p>
    <w:p w14:paraId="4AE512A1" w14:textId="77777777" w:rsidR="007D760F" w:rsidRPr="00F2449F" w:rsidRDefault="007D760F" w:rsidP="007B62B8">
      <w:pPr>
        <w:pStyle w:val="NormaleWeb"/>
        <w:spacing w:before="0" w:beforeAutospacing="0" w:after="0" w:afterAutospacing="0" w:line="480" w:lineRule="auto"/>
        <w:ind w:hanging="284"/>
        <w:jc w:val="both"/>
        <w:rPr>
          <w:lang w:val="en-US"/>
        </w:rPr>
      </w:pPr>
      <w:r w:rsidRPr="00F2449F">
        <w:rPr>
          <w:lang w:val="en-US"/>
        </w:rPr>
        <w:t xml:space="preserve">Miles, R. E., &amp; Snow, C. C. (1978). </w:t>
      </w:r>
      <w:r w:rsidRPr="00F2449F">
        <w:rPr>
          <w:i/>
          <w:lang w:val="en-US"/>
        </w:rPr>
        <w:t>Organizational Strategy, Structure, and Process</w:t>
      </w:r>
      <w:r w:rsidRPr="00F2449F">
        <w:rPr>
          <w:lang w:val="en-US"/>
        </w:rPr>
        <w:t xml:space="preserve">. New York: McGraw-Hill. </w:t>
      </w:r>
    </w:p>
    <w:p w14:paraId="51089077" w14:textId="77777777" w:rsidR="007D760F" w:rsidRPr="00F2449F" w:rsidRDefault="007D760F" w:rsidP="007B62B8">
      <w:pPr>
        <w:pStyle w:val="NormaleWeb"/>
        <w:spacing w:before="0" w:beforeAutospacing="0" w:after="0" w:afterAutospacing="0" w:line="480" w:lineRule="auto"/>
        <w:ind w:hanging="284"/>
        <w:jc w:val="both"/>
        <w:rPr>
          <w:lang w:val="en-US"/>
        </w:rPr>
      </w:pPr>
      <w:r w:rsidRPr="00F2449F">
        <w:rPr>
          <w:lang w:val="en-US"/>
        </w:rPr>
        <w:t xml:space="preserve">Miller, K. D. (1993). Industry and country effects on managers’ perceptions of environmental uncertainties. </w:t>
      </w:r>
      <w:r w:rsidRPr="00F2449F">
        <w:rPr>
          <w:i/>
          <w:lang w:val="en-US"/>
        </w:rPr>
        <w:t>Journal of International Business Studies</w:t>
      </w:r>
      <w:r w:rsidRPr="00F2449F">
        <w:rPr>
          <w:lang w:val="en-US"/>
        </w:rPr>
        <w:t xml:space="preserve">, </w:t>
      </w:r>
      <w:r w:rsidRPr="00F2449F">
        <w:rPr>
          <w:i/>
          <w:lang w:val="en-US"/>
        </w:rPr>
        <w:t>24</w:t>
      </w:r>
      <w:r w:rsidRPr="00F2449F">
        <w:rPr>
          <w:lang w:val="en-US"/>
        </w:rPr>
        <w:t xml:space="preserve">, 693–714. </w:t>
      </w:r>
    </w:p>
    <w:p w14:paraId="509B073C" w14:textId="77777777" w:rsidR="007D760F" w:rsidRPr="00F2449F" w:rsidRDefault="007D760F" w:rsidP="007B62B8">
      <w:pPr>
        <w:spacing w:line="480" w:lineRule="auto"/>
        <w:ind w:hanging="284"/>
        <w:jc w:val="both"/>
        <w:rPr>
          <w:shd w:val="clear" w:color="auto" w:fill="FFFFFF"/>
          <w:lang w:val="en-US"/>
        </w:rPr>
      </w:pPr>
      <w:r w:rsidRPr="00F2449F">
        <w:rPr>
          <w:shd w:val="clear" w:color="auto" w:fill="FFFFFF"/>
          <w:lang w:val="en-US"/>
        </w:rPr>
        <w:t xml:space="preserve">Miller, D. &amp; Shamsie, J. (1999). Strategic responses to three kinds of uncertainty: Product line simplicity at the Hollywood film studios. </w:t>
      </w:r>
      <w:r w:rsidRPr="00F2449F">
        <w:rPr>
          <w:i/>
          <w:shd w:val="clear" w:color="auto" w:fill="FFFFFF"/>
          <w:lang w:val="en-US"/>
        </w:rPr>
        <w:t>Journal of Management</w:t>
      </w:r>
      <w:r w:rsidRPr="00F2449F">
        <w:rPr>
          <w:shd w:val="clear" w:color="auto" w:fill="FFFFFF"/>
          <w:lang w:val="en-US"/>
        </w:rPr>
        <w:t xml:space="preserve">, </w:t>
      </w:r>
      <w:r w:rsidRPr="00F2449F">
        <w:rPr>
          <w:i/>
          <w:shd w:val="clear" w:color="auto" w:fill="FFFFFF"/>
          <w:lang w:val="en-US"/>
        </w:rPr>
        <w:t>25</w:t>
      </w:r>
      <w:r w:rsidRPr="00F2449F">
        <w:rPr>
          <w:shd w:val="clear" w:color="auto" w:fill="FFFFFF"/>
          <w:lang w:val="en-US"/>
        </w:rPr>
        <w:t>, 97</w:t>
      </w:r>
      <w:r w:rsidRPr="00F2449F">
        <w:rPr>
          <w:b/>
          <w:shd w:val="clear" w:color="auto" w:fill="FFFFFF"/>
          <w:lang w:val="en-US"/>
        </w:rPr>
        <w:t>–</w:t>
      </w:r>
      <w:r w:rsidRPr="00F2449F">
        <w:rPr>
          <w:shd w:val="clear" w:color="auto" w:fill="FFFFFF"/>
          <w:lang w:val="en-US"/>
        </w:rPr>
        <w:t>116. </w:t>
      </w:r>
    </w:p>
    <w:p w14:paraId="6671791D" w14:textId="77777777" w:rsidR="007D760F" w:rsidRPr="00F2449F" w:rsidRDefault="007D760F" w:rsidP="007B62B8">
      <w:pPr>
        <w:spacing w:line="480" w:lineRule="auto"/>
        <w:ind w:hanging="284"/>
        <w:jc w:val="both"/>
        <w:rPr>
          <w:lang w:val="en-US"/>
        </w:rPr>
      </w:pPr>
      <w:r w:rsidRPr="00F2449F">
        <w:rPr>
          <w:lang w:val="en-US"/>
        </w:rPr>
        <w:t xml:space="preserve">Mousavi, S. &amp; Gigerenzer, G. (2014). Risk, uncertainty, and heuristics. </w:t>
      </w:r>
      <w:r w:rsidRPr="00F2449F">
        <w:rPr>
          <w:i/>
          <w:lang w:val="en-US"/>
        </w:rPr>
        <w:t>Journal of Business Research, 67</w:t>
      </w:r>
      <w:r w:rsidRPr="00F2449F">
        <w:rPr>
          <w:lang w:val="en-US"/>
        </w:rPr>
        <w:t xml:space="preserve">(8), 1671–1678. </w:t>
      </w:r>
    </w:p>
    <w:p w14:paraId="2A403217" w14:textId="77777777" w:rsidR="007D760F" w:rsidRPr="00F2449F" w:rsidRDefault="007D760F" w:rsidP="007B62B8">
      <w:pPr>
        <w:pStyle w:val="NormaleWeb"/>
        <w:spacing w:before="0" w:beforeAutospacing="0" w:after="0" w:afterAutospacing="0" w:line="480" w:lineRule="auto"/>
        <w:ind w:hanging="284"/>
        <w:jc w:val="both"/>
        <w:rPr>
          <w:shd w:val="clear" w:color="auto" w:fill="FFFFFF"/>
          <w:lang w:val="en-US"/>
        </w:rPr>
      </w:pPr>
      <w:r w:rsidRPr="00F2449F">
        <w:rPr>
          <w:shd w:val="clear" w:color="auto" w:fill="FFFFFF"/>
          <w:lang w:val="en-US"/>
        </w:rPr>
        <w:t>Mullin, B. A., &amp; Hogg, M. A. (1999). Joining groups to reduce uncertainty: Subjective uncertainty reduction and group identification. In D. Abrams &amp; M. A. Hogg (Eds.),</w:t>
      </w:r>
      <w:r w:rsidRPr="00F2449F">
        <w:rPr>
          <w:rStyle w:val="apple-converted-space"/>
          <w:shd w:val="clear" w:color="auto" w:fill="FFFFFF"/>
          <w:lang w:val="en-US"/>
        </w:rPr>
        <w:t> </w:t>
      </w:r>
      <w:r w:rsidRPr="00F2449F">
        <w:rPr>
          <w:rStyle w:val="Enfasicorsivo"/>
          <w:lang w:val="en-US"/>
        </w:rPr>
        <w:t>Social identity and social cognition</w:t>
      </w:r>
      <w:r w:rsidRPr="00F2449F">
        <w:rPr>
          <w:rStyle w:val="apple-converted-space"/>
          <w:shd w:val="clear" w:color="auto" w:fill="FFFFFF"/>
          <w:lang w:val="en-US"/>
        </w:rPr>
        <w:t> </w:t>
      </w:r>
      <w:r w:rsidRPr="00F2449F">
        <w:rPr>
          <w:shd w:val="clear" w:color="auto" w:fill="FFFFFF"/>
          <w:lang w:val="en-US"/>
        </w:rPr>
        <w:t xml:space="preserve">(249–279). Blackwell Publishing. </w:t>
      </w:r>
    </w:p>
    <w:p w14:paraId="7BCE6D0D" w14:textId="77777777" w:rsidR="007D760F" w:rsidRPr="00F2449F" w:rsidRDefault="007D760F" w:rsidP="007B62B8">
      <w:pPr>
        <w:pStyle w:val="NormaleWeb"/>
        <w:spacing w:before="0" w:beforeAutospacing="0" w:after="0" w:afterAutospacing="0" w:line="480" w:lineRule="auto"/>
        <w:ind w:hanging="284"/>
        <w:jc w:val="both"/>
        <w:rPr>
          <w:lang w:val="en-US"/>
        </w:rPr>
      </w:pPr>
      <w:r w:rsidRPr="00F2449F">
        <w:rPr>
          <w:lang w:val="en-US"/>
        </w:rPr>
        <w:lastRenderedPageBreak/>
        <w:t xml:space="preserve">Munoz, A., Billsberry, J., &amp; Ambrosini, V. (2022). Resilience, robustness and antifragility: Towards an appreciation of distinct organizational responses to adversity. </w:t>
      </w:r>
      <w:r w:rsidRPr="00F2449F">
        <w:rPr>
          <w:i/>
          <w:lang w:val="en-US"/>
        </w:rPr>
        <w:t>International Journal of Management Reviews</w:t>
      </w:r>
      <w:r w:rsidRPr="00F2449F">
        <w:rPr>
          <w:lang w:val="en-US"/>
        </w:rPr>
        <w:t xml:space="preserve">, </w:t>
      </w:r>
      <w:r w:rsidRPr="00F2449F">
        <w:rPr>
          <w:i/>
          <w:lang w:val="en-US"/>
        </w:rPr>
        <w:t>24</w:t>
      </w:r>
      <w:r w:rsidRPr="00F2449F">
        <w:rPr>
          <w:lang w:val="en-US"/>
        </w:rPr>
        <w:t>(2), 181</w:t>
      </w:r>
      <w:r w:rsidRPr="00F2449F">
        <w:rPr>
          <w:shd w:val="clear" w:color="auto" w:fill="FFFFFF"/>
          <w:lang w:val="en-US"/>
        </w:rPr>
        <w:t>–</w:t>
      </w:r>
      <w:r w:rsidRPr="00F2449F">
        <w:rPr>
          <w:lang w:val="en-US"/>
        </w:rPr>
        <w:t>187.</w:t>
      </w:r>
    </w:p>
    <w:p w14:paraId="393A7D9D" w14:textId="77777777" w:rsidR="007D760F" w:rsidRPr="00F2449F" w:rsidRDefault="007D760F" w:rsidP="007B62B8">
      <w:pPr>
        <w:pStyle w:val="NormaleWeb"/>
        <w:spacing w:before="0" w:beforeAutospacing="0" w:after="0" w:afterAutospacing="0" w:line="480" w:lineRule="auto"/>
        <w:ind w:hanging="284"/>
        <w:jc w:val="both"/>
        <w:rPr>
          <w:lang w:val="en-US"/>
        </w:rPr>
      </w:pPr>
      <w:r w:rsidRPr="00F2449F">
        <w:rPr>
          <w:highlight w:val="white"/>
          <w:lang w:val="en-US"/>
        </w:rPr>
        <w:t xml:space="preserve">Murphy, M., &amp; Sashi, C. M. (2018). </w:t>
      </w:r>
      <w:r w:rsidRPr="00F2449F">
        <w:rPr>
          <w:lang w:val="en-US"/>
        </w:rPr>
        <w:t xml:space="preserve">Communication, interactivity, and satisfaction in B2B relationships. </w:t>
      </w:r>
      <w:r w:rsidRPr="00F2449F">
        <w:rPr>
          <w:i/>
          <w:lang w:val="en-US"/>
        </w:rPr>
        <w:t>Industrial Marketing Management</w:t>
      </w:r>
      <w:r w:rsidRPr="00F2449F">
        <w:rPr>
          <w:lang w:val="en-US"/>
        </w:rPr>
        <w:t xml:space="preserve">, </w:t>
      </w:r>
      <w:r w:rsidRPr="00F2449F">
        <w:rPr>
          <w:i/>
          <w:lang w:val="en-US"/>
        </w:rPr>
        <w:t>68</w:t>
      </w:r>
      <w:r w:rsidRPr="00F2449F">
        <w:rPr>
          <w:lang w:val="en-US"/>
        </w:rPr>
        <w:t>.</w:t>
      </w:r>
    </w:p>
    <w:p w14:paraId="13F1CD79" w14:textId="77777777" w:rsidR="007D760F" w:rsidRPr="00F2449F" w:rsidRDefault="007D760F" w:rsidP="007B62B8">
      <w:pPr>
        <w:pStyle w:val="NormaleWeb"/>
        <w:spacing w:before="0" w:beforeAutospacing="0" w:after="0" w:afterAutospacing="0" w:line="480" w:lineRule="auto"/>
        <w:ind w:hanging="284"/>
        <w:jc w:val="both"/>
        <w:rPr>
          <w:shd w:val="clear" w:color="auto" w:fill="FFFFFF"/>
          <w:lang w:val="en-US"/>
        </w:rPr>
      </w:pPr>
      <w:r w:rsidRPr="00F2449F">
        <w:rPr>
          <w:lang w:val="en-US"/>
        </w:rPr>
        <w:t xml:space="preserve">Pfeffer, J., &amp; Salancik, G. R. (1978). </w:t>
      </w:r>
      <w:r w:rsidRPr="00F2449F">
        <w:rPr>
          <w:i/>
          <w:lang w:val="en-US"/>
        </w:rPr>
        <w:t>The External Control of Organizations: A Resource Dependence Approach</w:t>
      </w:r>
      <w:r w:rsidRPr="00F2449F">
        <w:rPr>
          <w:lang w:val="en-US"/>
        </w:rPr>
        <w:t xml:space="preserve">. New York: Harper and Row Publishers. </w:t>
      </w:r>
    </w:p>
    <w:p w14:paraId="3E6461D7" w14:textId="77777777" w:rsidR="007D760F" w:rsidRPr="00F2449F" w:rsidRDefault="007D760F" w:rsidP="007B62B8">
      <w:pPr>
        <w:pStyle w:val="NormaleWeb"/>
        <w:spacing w:before="0" w:beforeAutospacing="0" w:after="0" w:afterAutospacing="0" w:line="480" w:lineRule="auto"/>
        <w:ind w:hanging="284"/>
        <w:jc w:val="both"/>
        <w:rPr>
          <w:shd w:val="clear" w:color="auto" w:fill="FFFFFF"/>
          <w:lang w:val="en-US"/>
        </w:rPr>
      </w:pPr>
      <w:r w:rsidRPr="00F2449F">
        <w:rPr>
          <w:shd w:val="clear" w:color="auto" w:fill="FFFFFF"/>
          <w:lang w:val="en-US"/>
        </w:rPr>
        <w:t xml:space="preserve">Polese, F., Mele, C. &amp; Gummesson, E. (2017). Value co-creation as a complex adaptive process. </w:t>
      </w:r>
      <w:r w:rsidRPr="00F2449F">
        <w:rPr>
          <w:i/>
          <w:shd w:val="clear" w:color="auto" w:fill="FFFFFF"/>
          <w:lang w:val="en-US"/>
        </w:rPr>
        <w:t>Journal of Service Theory and Practice</w:t>
      </w:r>
      <w:r w:rsidRPr="00F2449F">
        <w:rPr>
          <w:shd w:val="clear" w:color="auto" w:fill="FFFFFF"/>
          <w:lang w:val="en-US"/>
        </w:rPr>
        <w:t xml:space="preserve">, </w:t>
      </w:r>
      <w:r w:rsidRPr="00F2449F">
        <w:rPr>
          <w:i/>
          <w:shd w:val="clear" w:color="auto" w:fill="FFFFFF"/>
          <w:lang w:val="en-US"/>
        </w:rPr>
        <w:t>27</w:t>
      </w:r>
      <w:r w:rsidRPr="00F2449F">
        <w:rPr>
          <w:shd w:val="clear" w:color="auto" w:fill="FFFFFF"/>
          <w:lang w:val="en-US"/>
        </w:rPr>
        <w:t>, 926</w:t>
      </w:r>
      <w:r w:rsidRPr="00F2449F">
        <w:rPr>
          <w:rFonts w:eastAsiaTheme="minorHAnsi"/>
          <w:lang w:val="en-US" w:eastAsia="en-US"/>
        </w:rPr>
        <w:t>–</w:t>
      </w:r>
      <w:r w:rsidRPr="00F2449F">
        <w:rPr>
          <w:shd w:val="clear" w:color="auto" w:fill="FFFFFF"/>
          <w:lang w:val="en-US"/>
        </w:rPr>
        <w:t>929.</w:t>
      </w:r>
    </w:p>
    <w:p w14:paraId="2C0A4881" w14:textId="77777777" w:rsidR="007D760F" w:rsidRPr="001D1AEE" w:rsidRDefault="007D760F" w:rsidP="007B62B8">
      <w:pPr>
        <w:spacing w:line="480" w:lineRule="auto"/>
        <w:ind w:hanging="284"/>
        <w:jc w:val="both"/>
        <w:rPr>
          <w:lang w:val="en-US"/>
        </w:rPr>
      </w:pPr>
      <w:r w:rsidRPr="001D1AEE">
        <w:rPr>
          <w:shd w:val="clear" w:color="auto" w:fill="FFFFFF"/>
          <w:lang w:val="en-US"/>
        </w:rPr>
        <w:t>Purohit N</w:t>
      </w:r>
      <w:r w:rsidRPr="00F2449F">
        <w:rPr>
          <w:shd w:val="clear" w:color="auto" w:fill="FFFFFF"/>
          <w:lang w:val="en-US"/>
        </w:rPr>
        <w:t>.</w:t>
      </w:r>
      <w:r w:rsidRPr="001D1AEE">
        <w:rPr>
          <w:shd w:val="clear" w:color="auto" w:fill="FFFFFF"/>
          <w:lang w:val="en-US"/>
        </w:rPr>
        <w:t>, Mehta</w:t>
      </w:r>
      <w:r w:rsidRPr="00F2449F">
        <w:rPr>
          <w:shd w:val="clear" w:color="auto" w:fill="FFFFFF"/>
          <w:lang w:val="en-US"/>
        </w:rPr>
        <w:t>,</w:t>
      </w:r>
      <w:r w:rsidRPr="001D1AEE">
        <w:rPr>
          <w:shd w:val="clear" w:color="auto" w:fill="FFFFFF"/>
          <w:lang w:val="en-US"/>
        </w:rPr>
        <w:t xml:space="preserve"> S. </w:t>
      </w:r>
      <w:r w:rsidRPr="00F2449F">
        <w:rPr>
          <w:shd w:val="clear" w:color="auto" w:fill="FFFFFF"/>
          <w:lang w:val="en-US"/>
        </w:rPr>
        <w:t xml:space="preserve">(2020). </w:t>
      </w:r>
      <w:r w:rsidRPr="001D1AEE">
        <w:rPr>
          <w:shd w:val="clear" w:color="auto" w:fill="FFFFFF"/>
          <w:lang w:val="en-US"/>
        </w:rPr>
        <w:t xml:space="preserve">Risk </w:t>
      </w:r>
      <w:r w:rsidRPr="00F2449F">
        <w:rPr>
          <w:shd w:val="clear" w:color="auto" w:fill="FFFFFF"/>
          <w:lang w:val="en-US"/>
        </w:rPr>
        <w:t>c</w:t>
      </w:r>
      <w:r w:rsidRPr="001D1AEE">
        <w:rPr>
          <w:shd w:val="clear" w:color="auto" w:fill="FFFFFF"/>
          <w:lang w:val="en-US"/>
        </w:rPr>
        <w:t xml:space="preserve">ommunication </w:t>
      </w:r>
      <w:r w:rsidRPr="00F2449F">
        <w:rPr>
          <w:shd w:val="clear" w:color="auto" w:fill="FFFFFF"/>
          <w:lang w:val="en-US"/>
        </w:rPr>
        <w:t>i</w:t>
      </w:r>
      <w:r w:rsidRPr="001D1AEE">
        <w:rPr>
          <w:shd w:val="clear" w:color="auto" w:fill="FFFFFF"/>
          <w:lang w:val="en-US"/>
        </w:rPr>
        <w:t xml:space="preserve">nitiatives amid COVID-19 in India: Analyzing </w:t>
      </w:r>
      <w:r w:rsidRPr="00F2449F">
        <w:rPr>
          <w:shd w:val="clear" w:color="auto" w:fill="FFFFFF"/>
          <w:lang w:val="en-US"/>
        </w:rPr>
        <w:t>m</w:t>
      </w:r>
      <w:r w:rsidRPr="001D1AEE">
        <w:rPr>
          <w:shd w:val="clear" w:color="auto" w:fill="FFFFFF"/>
          <w:lang w:val="en-US"/>
        </w:rPr>
        <w:t xml:space="preserve">essage </w:t>
      </w:r>
      <w:r w:rsidRPr="00F2449F">
        <w:rPr>
          <w:shd w:val="clear" w:color="auto" w:fill="FFFFFF"/>
          <w:lang w:val="en-US"/>
        </w:rPr>
        <w:t>e</w:t>
      </w:r>
      <w:r w:rsidRPr="001D1AEE">
        <w:rPr>
          <w:shd w:val="clear" w:color="auto" w:fill="FFFFFF"/>
          <w:lang w:val="en-US"/>
        </w:rPr>
        <w:t xml:space="preserve">ffectiveness of </w:t>
      </w:r>
      <w:r w:rsidRPr="00F2449F">
        <w:rPr>
          <w:shd w:val="clear" w:color="auto" w:fill="FFFFFF"/>
          <w:lang w:val="en-US"/>
        </w:rPr>
        <w:t>v</w:t>
      </w:r>
      <w:r w:rsidRPr="001D1AEE">
        <w:rPr>
          <w:shd w:val="clear" w:color="auto" w:fill="FFFFFF"/>
          <w:lang w:val="en-US"/>
        </w:rPr>
        <w:t xml:space="preserve">ideos on </w:t>
      </w:r>
      <w:r w:rsidRPr="00F2449F">
        <w:rPr>
          <w:shd w:val="clear" w:color="auto" w:fill="FFFFFF"/>
          <w:lang w:val="en-US"/>
        </w:rPr>
        <w:t>n</w:t>
      </w:r>
      <w:r w:rsidRPr="001D1AEE">
        <w:rPr>
          <w:shd w:val="clear" w:color="auto" w:fill="FFFFFF"/>
          <w:lang w:val="en-US"/>
        </w:rPr>
        <w:t xml:space="preserve">ational </w:t>
      </w:r>
      <w:r w:rsidRPr="00F2449F">
        <w:rPr>
          <w:shd w:val="clear" w:color="auto" w:fill="FFFFFF"/>
          <w:lang w:val="en-US"/>
        </w:rPr>
        <w:t>t</w:t>
      </w:r>
      <w:r w:rsidRPr="001D1AEE">
        <w:rPr>
          <w:shd w:val="clear" w:color="auto" w:fill="FFFFFF"/>
          <w:lang w:val="en-US"/>
        </w:rPr>
        <w:t>elevision. </w:t>
      </w:r>
      <w:r w:rsidRPr="001D1AEE">
        <w:rPr>
          <w:i/>
          <w:iCs/>
          <w:lang w:val="en-US"/>
        </w:rPr>
        <w:t>Journal of Health Management</w:t>
      </w:r>
      <w:r w:rsidRPr="00F2449F">
        <w:rPr>
          <w:shd w:val="clear" w:color="auto" w:fill="FFFFFF"/>
          <w:lang w:val="en-US"/>
        </w:rPr>
        <w:t xml:space="preserve">, </w:t>
      </w:r>
      <w:r w:rsidRPr="001D1AEE">
        <w:rPr>
          <w:i/>
          <w:shd w:val="clear" w:color="auto" w:fill="FFFFFF"/>
          <w:lang w:val="en-US"/>
        </w:rPr>
        <w:t>22</w:t>
      </w:r>
      <w:r w:rsidRPr="001D1AEE">
        <w:rPr>
          <w:shd w:val="clear" w:color="auto" w:fill="FFFFFF"/>
          <w:lang w:val="en-US"/>
        </w:rPr>
        <w:t>(2)</w:t>
      </w:r>
      <w:r w:rsidRPr="00F2449F">
        <w:rPr>
          <w:shd w:val="clear" w:color="auto" w:fill="FFFFFF"/>
          <w:lang w:val="en-US"/>
        </w:rPr>
        <w:t xml:space="preserve">, </w:t>
      </w:r>
      <w:r w:rsidRPr="001D1AEE">
        <w:rPr>
          <w:shd w:val="clear" w:color="auto" w:fill="FFFFFF"/>
          <w:lang w:val="en-US"/>
        </w:rPr>
        <w:t>262</w:t>
      </w:r>
      <w:r w:rsidRPr="00F2449F">
        <w:rPr>
          <w:rFonts w:eastAsiaTheme="minorHAnsi"/>
          <w:lang w:val="en-US" w:eastAsia="en-US"/>
        </w:rPr>
        <w:t>–</w:t>
      </w:r>
      <w:r w:rsidRPr="001D1AEE">
        <w:rPr>
          <w:shd w:val="clear" w:color="auto" w:fill="FFFFFF"/>
          <w:lang w:val="en-US"/>
        </w:rPr>
        <w:t>280. </w:t>
      </w:r>
    </w:p>
    <w:p w14:paraId="218C36B6" w14:textId="77777777" w:rsidR="007D760F" w:rsidRPr="00F2449F" w:rsidRDefault="007D760F" w:rsidP="007B62B8">
      <w:pPr>
        <w:spacing w:line="480" w:lineRule="auto"/>
        <w:ind w:hanging="284"/>
        <w:jc w:val="both"/>
        <w:rPr>
          <w:lang w:val="en-US"/>
        </w:rPr>
      </w:pPr>
      <w:r w:rsidRPr="00F2449F">
        <w:rPr>
          <w:lang w:val="en-US"/>
        </w:rPr>
        <w:t xml:space="preserve">Ritter, T., &amp; Pedersen, C. L. (2020). Analyzing the impact of the coronavirus crisis on business models. </w:t>
      </w:r>
      <w:r w:rsidRPr="00F2449F">
        <w:rPr>
          <w:i/>
          <w:iCs/>
          <w:lang w:val="en-US"/>
        </w:rPr>
        <w:t xml:space="preserve">Industrial Marketing Management, </w:t>
      </w:r>
      <w:r w:rsidRPr="00F2449F">
        <w:rPr>
          <w:i/>
          <w:lang w:val="en-US"/>
        </w:rPr>
        <w:t>88</w:t>
      </w:r>
      <w:r w:rsidRPr="00F2449F">
        <w:rPr>
          <w:lang w:val="en-US"/>
        </w:rPr>
        <w:t xml:space="preserve">(7), 214–224. </w:t>
      </w:r>
    </w:p>
    <w:p w14:paraId="1B1BA04A" w14:textId="77777777" w:rsidR="007D760F" w:rsidRPr="00E170FD" w:rsidRDefault="007D760F" w:rsidP="007B62B8">
      <w:pPr>
        <w:spacing w:line="480" w:lineRule="auto"/>
        <w:ind w:hanging="284"/>
        <w:jc w:val="both"/>
        <w:rPr>
          <w:lang w:val="en-US"/>
        </w:rPr>
      </w:pPr>
      <w:r w:rsidRPr="00E170FD">
        <w:rPr>
          <w:shd w:val="clear" w:color="auto" w:fill="FFFFFF"/>
          <w:lang w:val="en-US"/>
        </w:rPr>
        <w:t>Sarta, A., Durand, R., &amp; Vergne, J.-P. (2021). Organizational Adaptation. </w:t>
      </w:r>
      <w:r w:rsidRPr="00E170FD">
        <w:rPr>
          <w:i/>
          <w:iCs/>
          <w:lang w:val="en-US"/>
        </w:rPr>
        <w:t>Journal of Management</w:t>
      </w:r>
      <w:r w:rsidRPr="00E170FD">
        <w:rPr>
          <w:shd w:val="clear" w:color="auto" w:fill="FFFFFF"/>
          <w:lang w:val="en-US"/>
        </w:rPr>
        <w:t>, </w:t>
      </w:r>
      <w:r w:rsidRPr="00E170FD">
        <w:rPr>
          <w:i/>
          <w:iCs/>
          <w:lang w:val="en-US"/>
        </w:rPr>
        <w:t>47</w:t>
      </w:r>
      <w:r w:rsidRPr="00E170FD">
        <w:rPr>
          <w:shd w:val="clear" w:color="auto" w:fill="FFFFFF"/>
          <w:lang w:val="en-US"/>
        </w:rPr>
        <w:t>(1), 43–75.</w:t>
      </w:r>
    </w:p>
    <w:p w14:paraId="0DE0E4E4" w14:textId="77777777" w:rsidR="007D760F" w:rsidRPr="00F2449F" w:rsidRDefault="007D760F" w:rsidP="007B62B8">
      <w:pPr>
        <w:spacing w:line="480" w:lineRule="auto"/>
        <w:ind w:hanging="284"/>
        <w:jc w:val="both"/>
        <w:rPr>
          <w:lang w:val="en-US"/>
        </w:rPr>
      </w:pPr>
      <w:r w:rsidRPr="00F2449F">
        <w:rPr>
          <w:lang w:val="en-US"/>
        </w:rPr>
        <w:t xml:space="preserve">Sawyer, J. E. (1990). Effects of risk and ambiguity on judgments of contingency relations and behavioral resource allocation decisions. </w:t>
      </w:r>
      <w:r w:rsidRPr="00F2449F">
        <w:rPr>
          <w:i/>
          <w:lang w:val="en-US"/>
        </w:rPr>
        <w:t>Organizational Behavior and Human Decision Processes</w:t>
      </w:r>
      <w:r w:rsidRPr="00F2449F">
        <w:rPr>
          <w:lang w:val="en-US"/>
        </w:rPr>
        <w:t xml:space="preserve">, </w:t>
      </w:r>
      <w:r w:rsidRPr="00F2449F">
        <w:rPr>
          <w:i/>
          <w:lang w:val="en-US"/>
        </w:rPr>
        <w:t>45</w:t>
      </w:r>
      <w:r w:rsidRPr="00F2449F">
        <w:rPr>
          <w:lang w:val="en-US"/>
        </w:rPr>
        <w:t>, 85</w:t>
      </w:r>
      <w:r w:rsidRPr="00F2449F">
        <w:rPr>
          <w:b/>
          <w:shd w:val="clear" w:color="auto" w:fill="FFFFFF"/>
          <w:lang w:val="en-US"/>
        </w:rPr>
        <w:t>–</w:t>
      </w:r>
      <w:r w:rsidRPr="00F2449F">
        <w:rPr>
          <w:lang w:val="en-US"/>
        </w:rPr>
        <w:t xml:space="preserve">110. </w:t>
      </w:r>
    </w:p>
    <w:p w14:paraId="07B9C68A" w14:textId="77777777" w:rsidR="007D760F" w:rsidRPr="00F2449F" w:rsidRDefault="007D760F" w:rsidP="007B62B8">
      <w:pPr>
        <w:spacing w:line="480" w:lineRule="auto"/>
        <w:ind w:hanging="284"/>
        <w:jc w:val="both"/>
        <w:rPr>
          <w:lang w:val="en-US"/>
        </w:rPr>
      </w:pPr>
      <w:r w:rsidRPr="00F2449F">
        <w:rPr>
          <w:lang w:val="en-US"/>
        </w:rPr>
        <w:t xml:space="preserve">Sheffi, Y. (2017). </w:t>
      </w:r>
      <w:r w:rsidRPr="00F2449F">
        <w:rPr>
          <w:i/>
          <w:iCs/>
          <w:lang w:val="en-US"/>
        </w:rPr>
        <w:t xml:space="preserve">The power of resilience: How the best companies manage the unexpected. </w:t>
      </w:r>
      <w:r w:rsidRPr="00F2449F">
        <w:rPr>
          <w:lang w:val="en-US"/>
        </w:rPr>
        <w:t xml:space="preserve">MIT Press. </w:t>
      </w:r>
    </w:p>
    <w:p w14:paraId="7D024916" w14:textId="77777777" w:rsidR="007D760F" w:rsidRPr="00F2449F" w:rsidRDefault="007D760F" w:rsidP="007B62B8">
      <w:pPr>
        <w:spacing w:line="480" w:lineRule="auto"/>
        <w:ind w:hanging="284"/>
        <w:jc w:val="both"/>
        <w:rPr>
          <w:lang w:val="en-US"/>
        </w:rPr>
      </w:pPr>
      <w:r w:rsidRPr="00F2449F">
        <w:rPr>
          <w:lang w:val="en-US"/>
        </w:rPr>
        <w:t xml:space="preserve">Sheppard, B. (2011). Mitigating terror and avoidance behavior through the risk perception matrix to augment resilience. </w:t>
      </w:r>
      <w:r w:rsidRPr="00F2449F">
        <w:rPr>
          <w:i/>
          <w:iCs/>
          <w:lang w:val="en-US"/>
        </w:rPr>
        <w:t>Journal of Homeland Security and Emergency Management</w:t>
      </w:r>
      <w:r w:rsidRPr="00F2449F">
        <w:rPr>
          <w:lang w:val="en-US"/>
        </w:rPr>
        <w:t xml:space="preserve">, </w:t>
      </w:r>
      <w:r w:rsidRPr="00F2449F">
        <w:rPr>
          <w:i/>
          <w:lang w:val="en-US"/>
        </w:rPr>
        <w:t>8</w:t>
      </w:r>
      <w:r w:rsidRPr="00F2449F">
        <w:rPr>
          <w:lang w:val="en-US"/>
        </w:rPr>
        <w:t xml:space="preserve">(1), 1–21. </w:t>
      </w:r>
    </w:p>
    <w:p w14:paraId="5BBAD098" w14:textId="77777777" w:rsidR="007D760F" w:rsidRPr="00F2449F" w:rsidRDefault="007D760F" w:rsidP="007B62B8">
      <w:pPr>
        <w:spacing w:line="480" w:lineRule="auto"/>
        <w:ind w:hanging="284"/>
        <w:jc w:val="both"/>
        <w:rPr>
          <w:lang w:val="en-US"/>
        </w:rPr>
      </w:pPr>
      <w:r w:rsidRPr="00F2449F">
        <w:rPr>
          <w:lang w:val="en-US"/>
        </w:rPr>
        <w:t xml:space="preserve">Siggelkow, N., &amp; Levinthal, D. A. (2003). Temporarily divide to conquer: Centralized, decentralized, and reintegrated organizational approaches to exploration and adaptation. </w:t>
      </w:r>
      <w:r w:rsidRPr="00F2449F">
        <w:rPr>
          <w:i/>
          <w:lang w:val="en-US"/>
        </w:rPr>
        <w:t>Organization Science</w:t>
      </w:r>
      <w:r w:rsidRPr="00F2449F">
        <w:rPr>
          <w:lang w:val="en-US"/>
        </w:rPr>
        <w:t xml:space="preserve">, </w:t>
      </w:r>
      <w:r w:rsidRPr="00F2449F">
        <w:rPr>
          <w:i/>
          <w:lang w:val="en-US"/>
        </w:rPr>
        <w:t>14</w:t>
      </w:r>
      <w:r w:rsidRPr="00F2449F">
        <w:rPr>
          <w:lang w:val="en-US"/>
        </w:rPr>
        <w:t>(6), 615–658.</w:t>
      </w:r>
    </w:p>
    <w:p w14:paraId="28E13DF2" w14:textId="77777777" w:rsidR="007D760F" w:rsidRPr="00F2449F" w:rsidRDefault="007D760F" w:rsidP="007B62B8">
      <w:pPr>
        <w:spacing w:line="480" w:lineRule="auto"/>
        <w:ind w:hanging="284"/>
        <w:jc w:val="both"/>
        <w:rPr>
          <w:lang w:val="en-US"/>
        </w:rPr>
      </w:pPr>
      <w:r w:rsidRPr="00F2449F">
        <w:rPr>
          <w:lang w:val="en-US"/>
        </w:rPr>
        <w:t xml:space="preserve">Silver, L., &amp; Vegholm, F. (2009). The impact of corporate fairness on the bank-SME relationship. </w:t>
      </w:r>
      <w:r w:rsidRPr="00F2449F">
        <w:rPr>
          <w:i/>
          <w:lang w:val="en-US"/>
        </w:rPr>
        <w:t>Journal of Financial Regulation and Compliance</w:t>
      </w:r>
      <w:r w:rsidRPr="00F2449F">
        <w:rPr>
          <w:lang w:val="en-US"/>
        </w:rPr>
        <w:t xml:space="preserve">, </w:t>
      </w:r>
      <w:r w:rsidRPr="00F2449F">
        <w:rPr>
          <w:i/>
          <w:lang w:val="en-US"/>
        </w:rPr>
        <w:t>16</w:t>
      </w:r>
      <w:r w:rsidRPr="00F2449F">
        <w:rPr>
          <w:lang w:val="en-US"/>
        </w:rPr>
        <w:t xml:space="preserve">. 352–364. </w:t>
      </w:r>
    </w:p>
    <w:p w14:paraId="641247E0" w14:textId="77777777" w:rsidR="007D760F" w:rsidRPr="00F2449F" w:rsidRDefault="007D760F" w:rsidP="007B62B8">
      <w:pPr>
        <w:pStyle w:val="NormaleWeb"/>
        <w:spacing w:before="0" w:beforeAutospacing="0" w:after="0" w:afterAutospacing="0" w:line="480" w:lineRule="auto"/>
        <w:ind w:hanging="284"/>
        <w:jc w:val="both"/>
        <w:rPr>
          <w:lang w:val="en-US"/>
        </w:rPr>
      </w:pPr>
      <w:r w:rsidRPr="00F2449F">
        <w:rPr>
          <w:lang w:val="en-US"/>
        </w:rPr>
        <w:lastRenderedPageBreak/>
        <w:t xml:space="preserve">Singh, N. P. &amp; Hong, P. C., (2020). Impact of strategic and operational risk management practices on firm performance: An empirical investigation. </w:t>
      </w:r>
      <w:r w:rsidRPr="00F2449F">
        <w:rPr>
          <w:i/>
          <w:lang w:val="en-US"/>
        </w:rPr>
        <w:t>European Management Journal</w:t>
      </w:r>
      <w:r w:rsidRPr="00F2449F">
        <w:rPr>
          <w:lang w:val="en-US"/>
        </w:rPr>
        <w:t xml:space="preserve">, </w:t>
      </w:r>
      <w:r w:rsidRPr="00F2449F">
        <w:rPr>
          <w:i/>
          <w:lang w:val="en-US"/>
        </w:rPr>
        <w:t>38</w:t>
      </w:r>
      <w:r w:rsidRPr="00F2449F">
        <w:rPr>
          <w:lang w:val="en-US"/>
        </w:rPr>
        <w:t>(5), 723–735.</w:t>
      </w:r>
    </w:p>
    <w:p w14:paraId="2C5C49D9" w14:textId="77777777" w:rsidR="007D760F" w:rsidRPr="00F2449F" w:rsidRDefault="007D760F" w:rsidP="007B62B8">
      <w:pPr>
        <w:pStyle w:val="NormaleWeb"/>
        <w:spacing w:before="0" w:beforeAutospacing="0" w:after="0" w:afterAutospacing="0" w:line="480" w:lineRule="auto"/>
        <w:ind w:hanging="284"/>
        <w:jc w:val="both"/>
        <w:rPr>
          <w:lang w:val="en-US"/>
        </w:rPr>
      </w:pPr>
      <w:r w:rsidRPr="00F2449F">
        <w:rPr>
          <w:lang w:val="en-US"/>
        </w:rPr>
        <w:t xml:space="preserve">Singh, S., Kumar, R., Panchal, R., &amp; Tiwari, M. K. (2020). Impact of COVID-19 on logistics systems and disruptions in food supply chain. </w:t>
      </w:r>
      <w:r w:rsidRPr="00F2449F">
        <w:rPr>
          <w:i/>
          <w:iCs/>
          <w:lang w:val="en-US"/>
        </w:rPr>
        <w:t>International Journal of Production Research</w:t>
      </w:r>
      <w:r w:rsidRPr="00F2449F">
        <w:rPr>
          <w:lang w:val="en-US"/>
        </w:rPr>
        <w:t xml:space="preserve">, 59(7), 1–16. </w:t>
      </w:r>
    </w:p>
    <w:p w14:paraId="6B89CBC4" w14:textId="77777777" w:rsidR="007D760F" w:rsidRPr="00F2449F" w:rsidRDefault="007D760F" w:rsidP="007B62B8">
      <w:pPr>
        <w:pStyle w:val="NormaleWeb"/>
        <w:spacing w:before="0" w:beforeAutospacing="0" w:after="0" w:afterAutospacing="0" w:line="480" w:lineRule="auto"/>
        <w:ind w:hanging="284"/>
        <w:jc w:val="both"/>
        <w:rPr>
          <w:lang w:val="en-US"/>
        </w:rPr>
      </w:pPr>
      <w:r w:rsidRPr="00F2449F">
        <w:rPr>
          <w:shd w:val="clear" w:color="auto" w:fill="FFFFFF"/>
          <w:lang w:val="en-US"/>
        </w:rPr>
        <w:t xml:space="preserve">Sodhi, M. S. Tang, C. S., &amp; Willenson, E. (2021). Research opportunities in preparing supply chains of essential goods for future pandemics. </w:t>
      </w:r>
      <w:r w:rsidRPr="00F2449F">
        <w:rPr>
          <w:i/>
          <w:shd w:val="clear" w:color="auto" w:fill="FFFFFF"/>
          <w:lang w:val="en-US"/>
        </w:rPr>
        <w:t>International Journal of Production Research</w:t>
      </w:r>
      <w:r w:rsidRPr="00F2449F">
        <w:rPr>
          <w:shd w:val="clear" w:color="auto" w:fill="FFFFFF"/>
          <w:lang w:val="en-US"/>
        </w:rPr>
        <w:t xml:space="preserve">, </w:t>
      </w:r>
      <w:r w:rsidRPr="00F2449F">
        <w:rPr>
          <w:i/>
          <w:shd w:val="clear" w:color="auto" w:fill="FFFFFF"/>
          <w:lang w:val="en-US"/>
        </w:rPr>
        <w:t>61</w:t>
      </w:r>
      <w:r w:rsidRPr="00F2449F">
        <w:rPr>
          <w:shd w:val="clear" w:color="auto" w:fill="FFFFFF"/>
          <w:lang w:val="en-US"/>
        </w:rPr>
        <w:t>(8), 2416</w:t>
      </w:r>
      <w:r w:rsidRPr="00F2449F">
        <w:rPr>
          <w:lang w:val="en-US"/>
        </w:rPr>
        <w:t>–</w:t>
      </w:r>
      <w:r w:rsidRPr="00F2449F">
        <w:rPr>
          <w:shd w:val="clear" w:color="auto" w:fill="FFFFFF"/>
          <w:lang w:val="en-US"/>
        </w:rPr>
        <w:t>2431.</w:t>
      </w:r>
    </w:p>
    <w:p w14:paraId="205B186A" w14:textId="77777777" w:rsidR="007D760F" w:rsidRPr="00F2449F" w:rsidRDefault="007D760F" w:rsidP="007B62B8">
      <w:pPr>
        <w:spacing w:line="480" w:lineRule="auto"/>
        <w:ind w:hanging="284"/>
        <w:jc w:val="both"/>
        <w:rPr>
          <w:shd w:val="clear" w:color="auto" w:fill="FFFFFF"/>
          <w:lang w:val="en-US"/>
        </w:rPr>
      </w:pPr>
      <w:r w:rsidRPr="00F2449F">
        <w:rPr>
          <w:shd w:val="clear" w:color="auto" w:fill="FFFFFF"/>
          <w:lang w:val="en-US"/>
        </w:rPr>
        <w:t>Stock, R. M. (2006). Interorganizational teams as boundary spanners between supplier and customer companies. </w:t>
      </w:r>
      <w:r w:rsidRPr="00F2449F">
        <w:rPr>
          <w:i/>
          <w:iCs/>
          <w:lang w:val="en-US"/>
        </w:rPr>
        <w:t>Journal of the Academy of Marketing Science</w:t>
      </w:r>
      <w:r w:rsidRPr="00F2449F">
        <w:rPr>
          <w:shd w:val="clear" w:color="auto" w:fill="FFFFFF"/>
          <w:lang w:val="en-US"/>
        </w:rPr>
        <w:t>, </w:t>
      </w:r>
      <w:r w:rsidRPr="00F2449F">
        <w:rPr>
          <w:i/>
          <w:iCs/>
          <w:lang w:val="en-US"/>
        </w:rPr>
        <w:t>34</w:t>
      </w:r>
      <w:r w:rsidRPr="00F2449F">
        <w:rPr>
          <w:shd w:val="clear" w:color="auto" w:fill="FFFFFF"/>
          <w:lang w:val="en-US"/>
        </w:rPr>
        <w:t>(4), 588–599.</w:t>
      </w:r>
    </w:p>
    <w:p w14:paraId="61C457DF" w14:textId="77777777" w:rsidR="007D760F" w:rsidRPr="00F2449F" w:rsidRDefault="007D760F" w:rsidP="007B62B8">
      <w:pPr>
        <w:spacing w:line="480" w:lineRule="auto"/>
        <w:ind w:hanging="284"/>
        <w:jc w:val="both"/>
        <w:rPr>
          <w:lang w:val="en-US"/>
        </w:rPr>
      </w:pPr>
      <w:r w:rsidRPr="00F2449F">
        <w:rPr>
          <w:lang w:val="en-US"/>
        </w:rPr>
        <w:t xml:space="preserve">Strauss, A. L. &amp; Corbin, J. N. (1998). </w:t>
      </w:r>
      <w:r w:rsidRPr="00F2449F">
        <w:rPr>
          <w:i/>
          <w:lang w:val="en-US"/>
        </w:rPr>
        <w:t>Basics of Qualitative Research</w:t>
      </w:r>
      <w:r w:rsidRPr="00F2449F">
        <w:rPr>
          <w:lang w:val="en-US"/>
        </w:rPr>
        <w:t>. Thousand Oaks, CA: Sage Publications, Inc.</w:t>
      </w:r>
    </w:p>
    <w:p w14:paraId="446BFD26" w14:textId="77777777" w:rsidR="007D760F" w:rsidRPr="00F2449F" w:rsidRDefault="007D760F" w:rsidP="007B62B8">
      <w:pPr>
        <w:spacing w:line="480" w:lineRule="auto"/>
        <w:ind w:hanging="284"/>
        <w:jc w:val="both"/>
        <w:rPr>
          <w:lang w:val="en-US"/>
        </w:rPr>
      </w:pPr>
      <w:r w:rsidRPr="00F2449F">
        <w:rPr>
          <w:shd w:val="clear" w:color="auto" w:fill="FFFFFF"/>
          <w:lang w:val="en-US"/>
        </w:rPr>
        <w:t>Sturges, D. L. (1994). Communicating through crisis: A strategy for organizational survival.</w:t>
      </w:r>
      <w:r w:rsidRPr="00F2449F">
        <w:rPr>
          <w:rStyle w:val="apple-converted-space"/>
          <w:shd w:val="clear" w:color="auto" w:fill="FFFFFF"/>
          <w:lang w:val="en-US"/>
        </w:rPr>
        <w:t xml:space="preserve"> </w:t>
      </w:r>
      <w:r w:rsidRPr="00F2449F">
        <w:rPr>
          <w:i/>
          <w:iCs/>
          <w:lang w:val="en-US"/>
        </w:rPr>
        <w:t>Management Communication Quarterly</w:t>
      </w:r>
      <w:r w:rsidRPr="00F2449F">
        <w:rPr>
          <w:shd w:val="clear" w:color="auto" w:fill="FFFFFF"/>
          <w:lang w:val="en-US"/>
        </w:rPr>
        <w:t>,</w:t>
      </w:r>
      <w:r w:rsidRPr="00F2449F">
        <w:rPr>
          <w:rStyle w:val="apple-converted-space"/>
          <w:shd w:val="clear" w:color="auto" w:fill="FFFFFF"/>
          <w:lang w:val="en-US"/>
        </w:rPr>
        <w:t> </w:t>
      </w:r>
      <w:r w:rsidRPr="00F2449F">
        <w:rPr>
          <w:i/>
          <w:iCs/>
          <w:lang w:val="en-US"/>
        </w:rPr>
        <w:t>7</w:t>
      </w:r>
      <w:r w:rsidRPr="00F2449F">
        <w:rPr>
          <w:shd w:val="clear" w:color="auto" w:fill="FFFFFF"/>
          <w:lang w:val="en-US"/>
        </w:rPr>
        <w:t>(3), 297–316.</w:t>
      </w:r>
      <w:r w:rsidRPr="00F2449F">
        <w:rPr>
          <w:lang w:val="en-US"/>
        </w:rPr>
        <w:t xml:space="preserve"> </w:t>
      </w:r>
    </w:p>
    <w:p w14:paraId="7DDB6D4C" w14:textId="77777777" w:rsidR="007D760F" w:rsidRPr="00F2449F" w:rsidRDefault="007D760F" w:rsidP="007B62B8">
      <w:pPr>
        <w:spacing w:line="480" w:lineRule="auto"/>
        <w:ind w:hanging="284"/>
        <w:jc w:val="both"/>
        <w:rPr>
          <w:shd w:val="clear" w:color="auto" w:fill="FFFFFF"/>
          <w:lang w:val="en-US"/>
        </w:rPr>
      </w:pPr>
      <w:r w:rsidRPr="00F2449F">
        <w:rPr>
          <w:lang w:val="en-US"/>
        </w:rPr>
        <w:t xml:space="preserve">Taleb, N. N. (2001). </w:t>
      </w:r>
      <w:r w:rsidRPr="00F2449F">
        <w:rPr>
          <w:i/>
          <w:lang w:val="en-US"/>
        </w:rPr>
        <w:t xml:space="preserve">Fooled by Randomness: </w:t>
      </w:r>
      <w:r w:rsidRPr="00F2449F">
        <w:rPr>
          <w:bCs/>
          <w:i/>
          <w:iCs/>
          <w:lang w:val="en-US"/>
        </w:rPr>
        <w:t>The Hidden Role of Chance in Life and in the Markets</w:t>
      </w:r>
      <w:r w:rsidRPr="00F2449F">
        <w:rPr>
          <w:lang w:val="en-US"/>
        </w:rPr>
        <w:t xml:space="preserve">. </w:t>
      </w:r>
      <w:r w:rsidRPr="00F2449F">
        <w:rPr>
          <w:shd w:val="clear" w:color="auto" w:fill="FFFFFF"/>
          <w:lang w:val="en-US"/>
        </w:rPr>
        <w:t>London: Texere.</w:t>
      </w:r>
    </w:p>
    <w:p w14:paraId="65FCFC49" w14:textId="77777777" w:rsidR="007D760F" w:rsidRPr="00F2449F" w:rsidRDefault="007D760F" w:rsidP="007B62B8">
      <w:pPr>
        <w:spacing w:line="480" w:lineRule="auto"/>
        <w:ind w:hanging="284"/>
        <w:jc w:val="both"/>
        <w:rPr>
          <w:lang w:val="en-US"/>
        </w:rPr>
      </w:pPr>
      <w:r w:rsidRPr="00F2449F">
        <w:rPr>
          <w:lang w:val="en-US"/>
        </w:rPr>
        <w:t xml:space="preserve">Taleb, N. N. (2014). </w:t>
      </w:r>
      <w:r w:rsidRPr="00F2449F">
        <w:rPr>
          <w:i/>
          <w:iCs/>
          <w:lang w:val="en-US"/>
        </w:rPr>
        <w:t xml:space="preserve">Antifragile: Things that gain from disorder. </w:t>
      </w:r>
      <w:r w:rsidRPr="00F2449F">
        <w:rPr>
          <w:lang w:val="en-US"/>
        </w:rPr>
        <w:t>New York: Random House.</w:t>
      </w:r>
    </w:p>
    <w:p w14:paraId="35676A24" w14:textId="77777777" w:rsidR="007D760F" w:rsidRPr="00F2449F" w:rsidRDefault="007D760F" w:rsidP="007B62B8">
      <w:pPr>
        <w:spacing w:line="480" w:lineRule="auto"/>
        <w:ind w:hanging="284"/>
        <w:jc w:val="both"/>
        <w:rPr>
          <w:lang w:val="en-US"/>
        </w:rPr>
      </w:pPr>
      <w:r w:rsidRPr="00F2449F">
        <w:rPr>
          <w:lang w:val="en-US"/>
        </w:rPr>
        <w:t xml:space="preserve">Tversky, A., &amp; Kahneman, D. (1974). Availability: A heuristic for judging frequency and probability. </w:t>
      </w:r>
      <w:r w:rsidRPr="00F2449F">
        <w:rPr>
          <w:i/>
          <w:lang w:val="en-US"/>
        </w:rPr>
        <w:t>Cognitive Psychology</w:t>
      </w:r>
      <w:r w:rsidRPr="00F2449F">
        <w:rPr>
          <w:lang w:val="en-US"/>
        </w:rPr>
        <w:t xml:space="preserve">, </w:t>
      </w:r>
      <w:r w:rsidRPr="00F2449F">
        <w:rPr>
          <w:i/>
          <w:lang w:val="en-US"/>
        </w:rPr>
        <w:t>5</w:t>
      </w:r>
      <w:r w:rsidRPr="00F2449F">
        <w:rPr>
          <w:lang w:val="en-US"/>
        </w:rPr>
        <w:t>(2), 207–232,</w:t>
      </w:r>
    </w:p>
    <w:p w14:paraId="5B5FB6F3" w14:textId="77777777" w:rsidR="007D760F" w:rsidRPr="00F2449F" w:rsidRDefault="007D760F" w:rsidP="007B62B8">
      <w:pPr>
        <w:pStyle w:val="NormaleWeb"/>
        <w:spacing w:before="0" w:beforeAutospacing="0" w:after="0" w:afterAutospacing="0" w:line="480" w:lineRule="auto"/>
        <w:ind w:hanging="284"/>
        <w:jc w:val="both"/>
        <w:rPr>
          <w:lang w:val="en-US"/>
        </w:rPr>
      </w:pPr>
      <w:r w:rsidRPr="00F2449F">
        <w:rPr>
          <w:shd w:val="clear" w:color="auto" w:fill="FFFFFF"/>
          <w:lang w:val="en-US"/>
        </w:rPr>
        <w:t>Vargo, S. L., &amp; Lusch, R. F. (2004). Evolving to a new dominant logic for marketing.</w:t>
      </w:r>
      <w:r w:rsidRPr="00F2449F">
        <w:rPr>
          <w:rStyle w:val="apple-converted-space"/>
          <w:shd w:val="clear" w:color="auto" w:fill="FFFFFF"/>
          <w:lang w:val="en-US"/>
        </w:rPr>
        <w:t> </w:t>
      </w:r>
      <w:r w:rsidRPr="00F2449F">
        <w:rPr>
          <w:i/>
          <w:iCs/>
          <w:lang w:val="en-US"/>
        </w:rPr>
        <w:t>Journal of Marketing</w:t>
      </w:r>
      <w:r w:rsidRPr="00F2449F">
        <w:rPr>
          <w:shd w:val="clear" w:color="auto" w:fill="FFFFFF"/>
          <w:lang w:val="en-US"/>
        </w:rPr>
        <w:t>,</w:t>
      </w:r>
      <w:r w:rsidRPr="00F2449F">
        <w:rPr>
          <w:rStyle w:val="apple-converted-space"/>
          <w:shd w:val="clear" w:color="auto" w:fill="FFFFFF"/>
          <w:lang w:val="en-US"/>
        </w:rPr>
        <w:t> </w:t>
      </w:r>
      <w:r w:rsidRPr="00F2449F">
        <w:rPr>
          <w:i/>
          <w:iCs/>
          <w:lang w:val="en-US"/>
        </w:rPr>
        <w:t>68</w:t>
      </w:r>
      <w:r w:rsidRPr="00F2449F">
        <w:rPr>
          <w:shd w:val="clear" w:color="auto" w:fill="FFFFFF"/>
          <w:lang w:val="en-US"/>
        </w:rPr>
        <w:t>(1), 1–17.</w:t>
      </w:r>
      <w:r w:rsidRPr="00F2449F">
        <w:rPr>
          <w:lang w:val="en-US"/>
        </w:rPr>
        <w:t xml:space="preserve"> </w:t>
      </w:r>
    </w:p>
    <w:p w14:paraId="01FA7A3F" w14:textId="77777777" w:rsidR="007D760F" w:rsidRPr="00F2449F" w:rsidRDefault="007D760F" w:rsidP="007B62B8">
      <w:pPr>
        <w:pStyle w:val="NormaleWeb"/>
        <w:spacing w:before="0" w:beforeAutospacing="0" w:after="0" w:afterAutospacing="0" w:line="480" w:lineRule="auto"/>
        <w:ind w:hanging="284"/>
        <w:jc w:val="both"/>
        <w:rPr>
          <w:lang w:val="en-US"/>
        </w:rPr>
      </w:pPr>
      <w:r w:rsidRPr="00F2449F">
        <w:rPr>
          <w:shd w:val="clear" w:color="auto" w:fill="FFFFFF"/>
          <w:lang w:val="en-US"/>
        </w:rPr>
        <w:t xml:space="preserve">Vargo, S. L., &amp; Lusch, R. F. (2008). </w:t>
      </w:r>
      <w:r w:rsidRPr="00F2449F">
        <w:rPr>
          <w:lang w:val="en-US"/>
        </w:rPr>
        <w:t xml:space="preserve">Service-dominant logic: continuing the evolution. </w:t>
      </w:r>
      <w:r w:rsidRPr="00F2449F">
        <w:rPr>
          <w:i/>
          <w:lang w:val="en-US"/>
        </w:rPr>
        <w:t>Journal of the Academy of Marketing Science</w:t>
      </w:r>
      <w:r w:rsidRPr="00F2449F">
        <w:rPr>
          <w:lang w:val="en-US"/>
        </w:rPr>
        <w:t xml:space="preserve">, </w:t>
      </w:r>
      <w:r w:rsidRPr="00F2449F">
        <w:rPr>
          <w:i/>
          <w:lang w:val="en-US"/>
        </w:rPr>
        <w:t>36</w:t>
      </w:r>
      <w:r w:rsidRPr="00F2449F">
        <w:rPr>
          <w:lang w:val="en-US"/>
        </w:rPr>
        <w:t>, 1–10.</w:t>
      </w:r>
    </w:p>
    <w:p w14:paraId="013080EE" w14:textId="77777777" w:rsidR="007D760F" w:rsidRPr="00F2449F" w:rsidRDefault="007D760F" w:rsidP="007B62B8">
      <w:pPr>
        <w:pStyle w:val="NormaleWeb"/>
        <w:spacing w:before="0" w:beforeAutospacing="0" w:after="0" w:afterAutospacing="0" w:line="480" w:lineRule="auto"/>
        <w:ind w:hanging="284"/>
        <w:jc w:val="both"/>
        <w:rPr>
          <w:lang w:val="en-US"/>
        </w:rPr>
      </w:pPr>
      <w:r w:rsidRPr="00F2449F">
        <w:rPr>
          <w:lang w:val="en-US"/>
        </w:rPr>
        <w:t xml:space="preserve">Viio, P., &amp; Grönroos, C. (2014). Value-based sales process adaptation in business relationships. </w:t>
      </w:r>
      <w:r w:rsidRPr="00F2449F">
        <w:rPr>
          <w:i/>
          <w:lang w:val="en-US"/>
        </w:rPr>
        <w:t>Industrial Marketing Management, 43</w:t>
      </w:r>
      <w:r w:rsidRPr="00F2449F">
        <w:rPr>
          <w:lang w:val="en-US"/>
        </w:rPr>
        <w:t>(6), 1085–1095.</w:t>
      </w:r>
    </w:p>
    <w:p w14:paraId="3CCEED3A" w14:textId="77777777" w:rsidR="007D760F" w:rsidRPr="00F2449F" w:rsidRDefault="007D760F" w:rsidP="007B62B8">
      <w:pPr>
        <w:pStyle w:val="NormaleWeb"/>
        <w:spacing w:before="0" w:beforeAutospacing="0" w:after="0" w:afterAutospacing="0" w:line="480" w:lineRule="auto"/>
        <w:ind w:hanging="284"/>
        <w:jc w:val="both"/>
        <w:rPr>
          <w:lang w:val="en-US"/>
        </w:rPr>
      </w:pPr>
      <w:r w:rsidRPr="00F2449F">
        <w:rPr>
          <w:lang w:val="en-US"/>
        </w:rPr>
        <w:t xml:space="preserve">Voigts, E. (2020). Algorithms, Artificial Intelligence, and Posthuman Adaptation: Adapting as Cultural Technique. </w:t>
      </w:r>
      <w:r w:rsidRPr="00F2449F">
        <w:rPr>
          <w:i/>
          <w:lang w:val="en-US"/>
        </w:rPr>
        <w:t>Adaptation</w:t>
      </w:r>
      <w:r w:rsidRPr="00F2449F">
        <w:rPr>
          <w:lang w:val="en-US"/>
        </w:rPr>
        <w:t xml:space="preserve">, </w:t>
      </w:r>
      <w:r w:rsidRPr="00F2449F">
        <w:rPr>
          <w:i/>
          <w:lang w:val="en-US"/>
        </w:rPr>
        <w:t>14</w:t>
      </w:r>
      <w:r w:rsidRPr="00F2449F">
        <w:rPr>
          <w:lang w:val="en-US"/>
        </w:rPr>
        <w:t>(2), 289–308.</w:t>
      </w:r>
    </w:p>
    <w:p w14:paraId="696F8E79" w14:textId="77777777" w:rsidR="007D760F" w:rsidRPr="00F2449F" w:rsidRDefault="007D760F" w:rsidP="007B62B8">
      <w:pPr>
        <w:pStyle w:val="NormaleWeb"/>
        <w:spacing w:before="0" w:beforeAutospacing="0" w:after="0" w:afterAutospacing="0" w:line="480" w:lineRule="auto"/>
        <w:ind w:hanging="284"/>
        <w:jc w:val="both"/>
        <w:rPr>
          <w:lang w:val="en-US"/>
        </w:rPr>
      </w:pPr>
      <w:r w:rsidRPr="00F2449F">
        <w:rPr>
          <w:lang w:val="en-US"/>
        </w:rPr>
        <w:lastRenderedPageBreak/>
        <w:t xml:space="preserve">von Gelderen, M., Frese, M., &amp; Thurik, R. (2000). Strategies, uncertainty and performance of small business startups. </w:t>
      </w:r>
      <w:r w:rsidRPr="00F2449F">
        <w:rPr>
          <w:i/>
          <w:lang w:val="en-US"/>
        </w:rPr>
        <w:t>Small Business Economics</w:t>
      </w:r>
      <w:r w:rsidRPr="00F2449F">
        <w:rPr>
          <w:lang w:val="en-US"/>
        </w:rPr>
        <w:t xml:space="preserve">, </w:t>
      </w:r>
      <w:r w:rsidRPr="00F2449F">
        <w:rPr>
          <w:i/>
          <w:lang w:val="en-US"/>
        </w:rPr>
        <w:t>15</w:t>
      </w:r>
      <w:r w:rsidRPr="00F2449F">
        <w:rPr>
          <w:lang w:val="en-US"/>
        </w:rPr>
        <w:t xml:space="preserve">, 165–181. </w:t>
      </w:r>
    </w:p>
    <w:p w14:paraId="77B99ED5" w14:textId="77777777" w:rsidR="007D760F" w:rsidRPr="00F2449F" w:rsidRDefault="007D760F" w:rsidP="007B62B8">
      <w:pPr>
        <w:spacing w:line="480" w:lineRule="auto"/>
        <w:ind w:hanging="284"/>
        <w:jc w:val="both"/>
        <w:rPr>
          <w:lang w:val="en-US"/>
        </w:rPr>
      </w:pPr>
      <w:r w:rsidRPr="00F2449F">
        <w:rPr>
          <w:shd w:val="clear" w:color="auto" w:fill="FFFFFF"/>
          <w:lang w:val="en-US"/>
        </w:rPr>
        <w:t xml:space="preserve"> Wartick, S. L. &amp; Mahon, J. F. (1994). Toward a substantive definition of the corporate issue construct: A review and synthesis of the literature. </w:t>
      </w:r>
      <w:r w:rsidRPr="00F2449F">
        <w:rPr>
          <w:i/>
          <w:iCs/>
          <w:lang w:val="en-US"/>
        </w:rPr>
        <w:t>Business &amp; Society</w:t>
      </w:r>
      <w:r w:rsidRPr="00F2449F">
        <w:rPr>
          <w:shd w:val="clear" w:color="auto" w:fill="FFFFFF"/>
          <w:lang w:val="en-US"/>
        </w:rPr>
        <w:t>, </w:t>
      </w:r>
      <w:r w:rsidRPr="00F2449F">
        <w:rPr>
          <w:i/>
          <w:iCs/>
          <w:lang w:val="en-US"/>
        </w:rPr>
        <w:t>33</w:t>
      </w:r>
      <w:r w:rsidRPr="00F2449F">
        <w:rPr>
          <w:shd w:val="clear" w:color="auto" w:fill="FFFFFF"/>
          <w:lang w:val="en-US"/>
        </w:rPr>
        <w:t>(3), 293–311.</w:t>
      </w:r>
    </w:p>
    <w:p w14:paraId="270F3A48" w14:textId="77777777" w:rsidR="007D760F" w:rsidRPr="00F2449F" w:rsidRDefault="007D760F" w:rsidP="007B62B8">
      <w:pPr>
        <w:pStyle w:val="NormaleWeb"/>
        <w:spacing w:before="0" w:beforeAutospacing="0" w:after="0" w:afterAutospacing="0" w:line="480" w:lineRule="auto"/>
        <w:ind w:hanging="284"/>
        <w:jc w:val="both"/>
        <w:rPr>
          <w:lang w:val="en-US"/>
        </w:rPr>
      </w:pPr>
      <w:r w:rsidRPr="00F2449F">
        <w:rPr>
          <w:lang w:val="en-US"/>
        </w:rPr>
        <w:t xml:space="preserve">Zafari, K., Biggeman, S., &amp; Garry, T. (2020). Mindful management of relationships during periods of crises: A model of trust, doubt and relational adjustments. </w:t>
      </w:r>
      <w:r w:rsidRPr="00F2449F">
        <w:rPr>
          <w:i/>
          <w:lang w:val="en-US"/>
        </w:rPr>
        <w:t>Industrial Marketing Management</w:t>
      </w:r>
      <w:r w:rsidRPr="00F2449F">
        <w:rPr>
          <w:lang w:val="en-US"/>
        </w:rPr>
        <w:t xml:space="preserve">, </w:t>
      </w:r>
      <w:r w:rsidRPr="00F2449F">
        <w:rPr>
          <w:i/>
          <w:lang w:val="en-US"/>
        </w:rPr>
        <w:t>88</w:t>
      </w:r>
      <w:r w:rsidRPr="00F2449F">
        <w:rPr>
          <w:lang w:val="en-US"/>
        </w:rPr>
        <w:t>, 278–286.</w:t>
      </w:r>
    </w:p>
    <w:p w14:paraId="0E3B9B06" w14:textId="77777777" w:rsidR="007D760F" w:rsidRPr="00F2449F" w:rsidRDefault="007D760F" w:rsidP="007B62B8">
      <w:pPr>
        <w:pStyle w:val="NormaleWeb"/>
        <w:spacing w:before="0" w:beforeAutospacing="0" w:after="0" w:afterAutospacing="0" w:line="480" w:lineRule="auto"/>
        <w:ind w:hanging="284"/>
        <w:jc w:val="both"/>
        <w:rPr>
          <w:lang w:val="en-US"/>
        </w:rPr>
      </w:pPr>
      <w:r w:rsidRPr="00F2449F">
        <w:rPr>
          <w:lang w:val="en-US"/>
        </w:rPr>
        <w:t xml:space="preserve">Zeithaml, V. A., Jaworski, B. J., &amp; Kohli, A. K. (2020). A theories-in-use approach to building marketing theory. </w:t>
      </w:r>
      <w:r w:rsidRPr="00F2449F">
        <w:rPr>
          <w:i/>
          <w:lang w:val="en-US"/>
        </w:rPr>
        <w:t>Journal of Marketing 84</w:t>
      </w:r>
      <w:r w:rsidRPr="00F2449F">
        <w:rPr>
          <w:lang w:val="en-US"/>
        </w:rPr>
        <w:t>(1), 32–51.</w:t>
      </w:r>
    </w:p>
    <w:p w14:paraId="1FB6F7DE" w14:textId="77777777" w:rsidR="007D760F" w:rsidRPr="00F2449F" w:rsidRDefault="007D760F" w:rsidP="007B62B8">
      <w:pPr>
        <w:pStyle w:val="NormaleWeb"/>
        <w:spacing w:before="0" w:beforeAutospacing="0" w:after="0" w:afterAutospacing="0" w:line="480" w:lineRule="auto"/>
        <w:ind w:hanging="284"/>
        <w:jc w:val="both"/>
        <w:rPr>
          <w:lang w:val="en-US"/>
        </w:rPr>
      </w:pPr>
    </w:p>
    <w:p w14:paraId="00000248" w14:textId="7ACCFD89" w:rsidR="00985B1F" w:rsidRPr="00F2449F" w:rsidRDefault="00985B1F" w:rsidP="007B62B8">
      <w:pPr>
        <w:spacing w:line="480" w:lineRule="auto"/>
        <w:ind w:left="284" w:hanging="284"/>
        <w:jc w:val="both"/>
        <w:rPr>
          <w:color w:val="000000"/>
          <w:lang w:val="en-US"/>
        </w:rPr>
      </w:pPr>
    </w:p>
    <w:p w14:paraId="0000029E" w14:textId="77777777" w:rsidR="00985B1F" w:rsidRPr="00F2449F" w:rsidRDefault="00985B1F" w:rsidP="007B62B8">
      <w:pPr>
        <w:spacing w:line="480" w:lineRule="auto"/>
        <w:ind w:hanging="284"/>
        <w:jc w:val="both"/>
        <w:rPr>
          <w:lang w:val="en-US"/>
        </w:rPr>
      </w:pPr>
    </w:p>
    <w:p w14:paraId="0000029F" w14:textId="77777777" w:rsidR="00985B1F" w:rsidRPr="00F2449F" w:rsidRDefault="00985B1F" w:rsidP="007B62B8">
      <w:pPr>
        <w:pBdr>
          <w:top w:val="nil"/>
          <w:left w:val="nil"/>
          <w:bottom w:val="nil"/>
          <w:right w:val="nil"/>
          <w:between w:val="nil"/>
        </w:pBdr>
        <w:spacing w:line="480" w:lineRule="auto"/>
        <w:jc w:val="both"/>
        <w:rPr>
          <w:color w:val="000000"/>
          <w:lang w:val="en-US"/>
        </w:rPr>
      </w:pPr>
    </w:p>
    <w:p w14:paraId="000002A0" w14:textId="77777777" w:rsidR="00985B1F" w:rsidRPr="00F2449F" w:rsidRDefault="00985B1F" w:rsidP="007B62B8">
      <w:pPr>
        <w:jc w:val="both"/>
        <w:rPr>
          <w:lang w:val="en-US"/>
        </w:rPr>
      </w:pPr>
    </w:p>
    <w:sectPr w:rsidR="00985B1F" w:rsidRPr="00F2449F">
      <w:footerReference w:type="even" r:id="rId10"/>
      <w:footerReference w:type="default" r:id="rId11"/>
      <w:pgSz w:w="11900" w:h="16840"/>
      <w:pgMar w:top="1134" w:right="1134" w:bottom="1134" w:left="1134"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CA985C" w14:textId="77777777" w:rsidR="000315C5" w:rsidRDefault="000315C5">
      <w:r>
        <w:separator/>
      </w:r>
    </w:p>
  </w:endnote>
  <w:endnote w:type="continuationSeparator" w:id="0">
    <w:p w14:paraId="0E3FED8C" w14:textId="77777777" w:rsidR="000315C5" w:rsidRDefault="000315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altName w:val="Sylfaen"/>
    <w:panose1 w:val="020B0604020202020204"/>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2A3" w14:textId="77777777" w:rsidR="00717D17" w:rsidRDefault="00717D17">
    <w:pPr>
      <w:pBdr>
        <w:top w:val="nil"/>
        <w:left w:val="nil"/>
        <w:bottom w:val="nil"/>
        <w:right w:val="nil"/>
        <w:between w:val="nil"/>
      </w:pBdr>
      <w:tabs>
        <w:tab w:val="center" w:pos="4819"/>
        <w:tab w:val="right" w:pos="9638"/>
      </w:tabs>
      <w:jc w:val="center"/>
      <w:rPr>
        <w:color w:val="000000"/>
      </w:rPr>
    </w:pPr>
    <w:r>
      <w:rPr>
        <w:color w:val="000000"/>
      </w:rPr>
      <w:fldChar w:fldCharType="begin"/>
    </w:r>
    <w:r>
      <w:rPr>
        <w:color w:val="000000"/>
      </w:rPr>
      <w:instrText>PAGE</w:instrText>
    </w:r>
    <w:r>
      <w:rPr>
        <w:color w:val="000000"/>
      </w:rPr>
      <w:fldChar w:fldCharType="end"/>
    </w:r>
  </w:p>
  <w:p w14:paraId="000002A4" w14:textId="77777777" w:rsidR="00717D17" w:rsidRDefault="00717D17">
    <w:pPr>
      <w:pBdr>
        <w:top w:val="nil"/>
        <w:left w:val="nil"/>
        <w:bottom w:val="nil"/>
        <w:right w:val="nil"/>
        <w:between w:val="nil"/>
      </w:pBdr>
      <w:tabs>
        <w:tab w:val="center" w:pos="4819"/>
        <w:tab w:val="right" w:pos="9638"/>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2A1" w14:textId="6596EB99" w:rsidR="00717D17" w:rsidRDefault="00717D17">
    <w:pPr>
      <w:pBdr>
        <w:top w:val="nil"/>
        <w:left w:val="nil"/>
        <w:bottom w:val="nil"/>
        <w:right w:val="nil"/>
        <w:between w:val="nil"/>
      </w:pBdr>
      <w:tabs>
        <w:tab w:val="center" w:pos="4819"/>
        <w:tab w:val="right" w:pos="9638"/>
      </w:tabs>
      <w:jc w:val="center"/>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000002A2" w14:textId="77777777" w:rsidR="00717D17" w:rsidRDefault="00717D17">
    <w:pPr>
      <w:pBdr>
        <w:top w:val="nil"/>
        <w:left w:val="nil"/>
        <w:bottom w:val="nil"/>
        <w:right w:val="nil"/>
        <w:between w:val="nil"/>
      </w:pBdr>
      <w:tabs>
        <w:tab w:val="center" w:pos="4819"/>
        <w:tab w:val="right" w:pos="96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F68C94" w14:textId="77777777" w:rsidR="000315C5" w:rsidRDefault="000315C5">
      <w:r>
        <w:separator/>
      </w:r>
    </w:p>
  </w:footnote>
  <w:footnote w:type="continuationSeparator" w:id="0">
    <w:p w14:paraId="006C4E38" w14:textId="77777777" w:rsidR="000315C5" w:rsidRDefault="000315C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4"/>
  <w:proofState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5B1F"/>
    <w:rsid w:val="000315C5"/>
    <w:rsid w:val="00123A30"/>
    <w:rsid w:val="001548E0"/>
    <w:rsid w:val="001A2A6F"/>
    <w:rsid w:val="001E41AC"/>
    <w:rsid w:val="00214AFF"/>
    <w:rsid w:val="0034346E"/>
    <w:rsid w:val="005573E0"/>
    <w:rsid w:val="00562B87"/>
    <w:rsid w:val="00574716"/>
    <w:rsid w:val="0057551D"/>
    <w:rsid w:val="00580CFB"/>
    <w:rsid w:val="00597470"/>
    <w:rsid w:val="00614E47"/>
    <w:rsid w:val="00650B1A"/>
    <w:rsid w:val="00662271"/>
    <w:rsid w:val="00717D17"/>
    <w:rsid w:val="007876DB"/>
    <w:rsid w:val="007B62B8"/>
    <w:rsid w:val="007D760F"/>
    <w:rsid w:val="007F3B1A"/>
    <w:rsid w:val="008563EC"/>
    <w:rsid w:val="0093335F"/>
    <w:rsid w:val="00985B1F"/>
    <w:rsid w:val="009A2294"/>
    <w:rsid w:val="009C2442"/>
    <w:rsid w:val="009C718E"/>
    <w:rsid w:val="00A30D7A"/>
    <w:rsid w:val="00B13E1D"/>
    <w:rsid w:val="00B367DA"/>
    <w:rsid w:val="00B64061"/>
    <w:rsid w:val="00BB368E"/>
    <w:rsid w:val="00BE50F4"/>
    <w:rsid w:val="00C35DA2"/>
    <w:rsid w:val="00DA2B3F"/>
    <w:rsid w:val="00DC59E4"/>
    <w:rsid w:val="00DE1348"/>
    <w:rsid w:val="00E047EC"/>
    <w:rsid w:val="00EA736D"/>
    <w:rsid w:val="00ED67FF"/>
    <w:rsid w:val="00F01B4D"/>
    <w:rsid w:val="00F038D9"/>
    <w:rsid w:val="00F2449F"/>
    <w:rsid w:val="00F516D2"/>
    <w:rsid w:val="00F709CE"/>
    <w:rsid w:val="00F84739"/>
    <w:rsid w:val="00FC489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49DC5"/>
  <w15:docId w15:val="{564F4781-79D2-2444-8610-165A60D39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B5CEB"/>
    <w:rPr>
      <w:lang w:val="it-IT"/>
    </w:rPr>
  </w:style>
  <w:style w:type="paragraph" w:styleId="Titolo1">
    <w:name w:val="heading 1"/>
    <w:basedOn w:val="Normale"/>
    <w:next w:val="Normale"/>
    <w:link w:val="Titolo1Carattere"/>
    <w:uiPriority w:val="9"/>
    <w:qFormat/>
    <w:rsid w:val="00CB5CE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link w:val="Titolo3Carattere"/>
    <w:uiPriority w:val="9"/>
    <w:semiHidden/>
    <w:unhideWhenUsed/>
    <w:qFormat/>
    <w:rsid w:val="00CB5CEB"/>
    <w:pPr>
      <w:spacing w:before="100" w:beforeAutospacing="1" w:after="100" w:afterAutospacing="1"/>
      <w:outlineLvl w:val="2"/>
    </w:pPr>
    <w:rPr>
      <w:b/>
      <w:bCs/>
      <w:sz w:val="27"/>
      <w:szCs w:val="27"/>
    </w:rPr>
  </w:style>
  <w:style w:type="paragraph" w:styleId="Titolo4">
    <w:name w:val="heading 4"/>
    <w:basedOn w:val="Normale"/>
    <w:next w:val="Normale"/>
    <w:link w:val="Titolo4Carattere"/>
    <w:uiPriority w:val="9"/>
    <w:semiHidden/>
    <w:unhideWhenUsed/>
    <w:qFormat/>
    <w:rsid w:val="009207CF"/>
    <w:pPr>
      <w:keepNext/>
      <w:keepLines/>
      <w:spacing w:before="4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character" w:customStyle="1" w:styleId="Titolo1Carattere">
    <w:name w:val="Titolo 1 Carattere"/>
    <w:basedOn w:val="Carpredefinitoparagrafo"/>
    <w:link w:val="Titolo1"/>
    <w:uiPriority w:val="9"/>
    <w:rsid w:val="00CB5CEB"/>
    <w:rPr>
      <w:rFonts w:asciiTheme="majorHAnsi" w:eastAsiaTheme="majorEastAsia" w:hAnsiTheme="majorHAnsi" w:cstheme="majorBidi"/>
      <w:color w:val="2F5496" w:themeColor="accent1" w:themeShade="BF"/>
      <w:sz w:val="32"/>
      <w:szCs w:val="32"/>
      <w:lang w:val="it-IT" w:eastAsia="it-IT"/>
    </w:rPr>
  </w:style>
  <w:style w:type="character" w:customStyle="1" w:styleId="Titolo3Carattere">
    <w:name w:val="Titolo 3 Carattere"/>
    <w:basedOn w:val="Carpredefinitoparagrafo"/>
    <w:link w:val="Titolo3"/>
    <w:uiPriority w:val="9"/>
    <w:rsid w:val="00CB5CEB"/>
    <w:rPr>
      <w:rFonts w:ascii="Times New Roman" w:eastAsia="Times New Roman" w:hAnsi="Times New Roman" w:cs="Times New Roman"/>
      <w:b/>
      <w:bCs/>
      <w:sz w:val="27"/>
      <w:szCs w:val="27"/>
      <w:lang w:val="it-IT" w:eastAsia="it-IT"/>
    </w:rPr>
  </w:style>
  <w:style w:type="paragraph" w:styleId="NormaleWeb">
    <w:name w:val="Normal (Web)"/>
    <w:basedOn w:val="Normale"/>
    <w:uiPriority w:val="99"/>
    <w:unhideWhenUsed/>
    <w:rsid w:val="00CB5CEB"/>
    <w:pPr>
      <w:spacing w:before="100" w:beforeAutospacing="1" w:after="100" w:afterAutospacing="1"/>
    </w:pPr>
  </w:style>
  <w:style w:type="character" w:styleId="Collegamentoipertestuale">
    <w:name w:val="Hyperlink"/>
    <w:basedOn w:val="Carpredefinitoparagrafo"/>
    <w:uiPriority w:val="99"/>
    <w:unhideWhenUsed/>
    <w:rsid w:val="00CB5CEB"/>
    <w:rPr>
      <w:color w:val="0000FF"/>
      <w:u w:val="single"/>
    </w:rPr>
  </w:style>
  <w:style w:type="character" w:customStyle="1" w:styleId="apple-converted-space">
    <w:name w:val="apple-converted-space"/>
    <w:basedOn w:val="Carpredefinitoparagrafo"/>
    <w:rsid w:val="00CB5CEB"/>
  </w:style>
  <w:style w:type="character" w:styleId="Enfasicorsivo">
    <w:name w:val="Emphasis"/>
    <w:basedOn w:val="Carpredefinitoparagrafo"/>
    <w:uiPriority w:val="20"/>
    <w:qFormat/>
    <w:rsid w:val="00CB5CEB"/>
    <w:rPr>
      <w:i/>
      <w:iCs/>
    </w:rPr>
  </w:style>
  <w:style w:type="paragraph" w:styleId="Paragrafoelenco">
    <w:name w:val="List Paragraph"/>
    <w:basedOn w:val="Normale"/>
    <w:uiPriority w:val="34"/>
    <w:qFormat/>
    <w:rsid w:val="00CB5CEB"/>
    <w:pPr>
      <w:ind w:left="720"/>
      <w:contextualSpacing/>
    </w:pPr>
  </w:style>
  <w:style w:type="paragraph" w:styleId="Testofumetto">
    <w:name w:val="Balloon Text"/>
    <w:basedOn w:val="Normale"/>
    <w:link w:val="TestofumettoCarattere"/>
    <w:uiPriority w:val="99"/>
    <w:semiHidden/>
    <w:unhideWhenUsed/>
    <w:rsid w:val="00CB5CEB"/>
    <w:rPr>
      <w:sz w:val="18"/>
      <w:szCs w:val="18"/>
    </w:rPr>
  </w:style>
  <w:style w:type="character" w:customStyle="1" w:styleId="TestofumettoCarattere">
    <w:name w:val="Testo fumetto Carattere"/>
    <w:basedOn w:val="Carpredefinitoparagrafo"/>
    <w:link w:val="Testofumetto"/>
    <w:uiPriority w:val="99"/>
    <w:semiHidden/>
    <w:rsid w:val="00CB5CEB"/>
    <w:rPr>
      <w:rFonts w:ascii="Times New Roman" w:eastAsia="Times New Roman" w:hAnsi="Times New Roman" w:cs="Times New Roman"/>
      <w:sz w:val="18"/>
      <w:szCs w:val="18"/>
      <w:lang w:val="it-IT" w:eastAsia="it-IT"/>
    </w:rPr>
  </w:style>
  <w:style w:type="table" w:styleId="Grigliatabella">
    <w:name w:val="Table Grid"/>
    <w:basedOn w:val="Tabellanormale"/>
    <w:uiPriority w:val="39"/>
    <w:rsid w:val="00CB5CEB"/>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commento">
    <w:name w:val="annotation text"/>
    <w:basedOn w:val="Normale"/>
    <w:link w:val="TestocommentoCarattere"/>
    <w:uiPriority w:val="99"/>
    <w:unhideWhenUsed/>
    <w:rsid w:val="00CB5CEB"/>
    <w:rPr>
      <w:sz w:val="20"/>
      <w:szCs w:val="20"/>
    </w:rPr>
  </w:style>
  <w:style w:type="character" w:customStyle="1" w:styleId="TestocommentoCarattere">
    <w:name w:val="Testo commento Carattere"/>
    <w:basedOn w:val="Carpredefinitoparagrafo"/>
    <w:link w:val="Testocommento"/>
    <w:uiPriority w:val="99"/>
    <w:rsid w:val="00CB5CEB"/>
    <w:rPr>
      <w:rFonts w:ascii="Times New Roman" w:eastAsia="Times New Roman" w:hAnsi="Times New Roman" w:cs="Times New Roman"/>
      <w:sz w:val="20"/>
      <w:szCs w:val="20"/>
      <w:lang w:val="it-IT" w:eastAsia="it-IT"/>
    </w:rPr>
  </w:style>
  <w:style w:type="character" w:styleId="Rimandocommento">
    <w:name w:val="annotation reference"/>
    <w:basedOn w:val="Carpredefinitoparagrafo"/>
    <w:uiPriority w:val="99"/>
    <w:unhideWhenUsed/>
    <w:rsid w:val="00CB5CEB"/>
    <w:rPr>
      <w:sz w:val="16"/>
      <w:szCs w:val="16"/>
    </w:rPr>
  </w:style>
  <w:style w:type="paragraph" w:styleId="Pidipagina">
    <w:name w:val="footer"/>
    <w:basedOn w:val="Normale"/>
    <w:link w:val="PidipaginaCarattere"/>
    <w:uiPriority w:val="99"/>
    <w:unhideWhenUsed/>
    <w:rsid w:val="00CB5CEB"/>
    <w:pPr>
      <w:tabs>
        <w:tab w:val="center" w:pos="4819"/>
        <w:tab w:val="right" w:pos="9638"/>
      </w:tabs>
    </w:pPr>
  </w:style>
  <w:style w:type="character" w:customStyle="1" w:styleId="PidipaginaCarattere">
    <w:name w:val="Piè di pagina Carattere"/>
    <w:basedOn w:val="Carpredefinitoparagrafo"/>
    <w:link w:val="Pidipagina"/>
    <w:uiPriority w:val="99"/>
    <w:rsid w:val="00CB5CEB"/>
    <w:rPr>
      <w:rFonts w:ascii="Times New Roman" w:eastAsia="Times New Roman" w:hAnsi="Times New Roman" w:cs="Times New Roman"/>
      <w:sz w:val="24"/>
      <w:szCs w:val="24"/>
      <w:lang w:val="it-IT" w:eastAsia="it-IT"/>
    </w:rPr>
  </w:style>
  <w:style w:type="character" w:styleId="Numeropagina">
    <w:name w:val="page number"/>
    <w:basedOn w:val="Carpredefinitoparagrafo"/>
    <w:uiPriority w:val="99"/>
    <w:semiHidden/>
    <w:unhideWhenUsed/>
    <w:rsid w:val="00CB5CEB"/>
  </w:style>
  <w:style w:type="paragraph" w:styleId="Revisione">
    <w:name w:val="Revision"/>
    <w:hidden/>
    <w:uiPriority w:val="99"/>
    <w:semiHidden/>
    <w:rsid w:val="00CB5CEB"/>
    <w:rPr>
      <w:lang w:val="it-IT"/>
    </w:rPr>
  </w:style>
  <w:style w:type="paragraph" w:styleId="Soggettocommento">
    <w:name w:val="annotation subject"/>
    <w:basedOn w:val="Testocommento"/>
    <w:next w:val="Testocommento"/>
    <w:link w:val="SoggettocommentoCarattere"/>
    <w:uiPriority w:val="99"/>
    <w:semiHidden/>
    <w:unhideWhenUsed/>
    <w:rsid w:val="00CB5CEB"/>
    <w:rPr>
      <w:b/>
      <w:bCs/>
    </w:rPr>
  </w:style>
  <w:style w:type="character" w:customStyle="1" w:styleId="SoggettocommentoCarattere">
    <w:name w:val="Soggetto commento Carattere"/>
    <w:basedOn w:val="TestocommentoCarattere"/>
    <w:link w:val="Soggettocommento"/>
    <w:uiPriority w:val="99"/>
    <w:semiHidden/>
    <w:rsid w:val="00CB5CEB"/>
    <w:rPr>
      <w:rFonts w:ascii="Times New Roman" w:eastAsia="Times New Roman" w:hAnsi="Times New Roman" w:cs="Times New Roman"/>
      <w:b/>
      <w:bCs/>
      <w:sz w:val="20"/>
      <w:szCs w:val="20"/>
      <w:lang w:val="it-IT" w:eastAsia="it-IT"/>
    </w:rPr>
  </w:style>
  <w:style w:type="character" w:styleId="Menzionenonrisolta">
    <w:name w:val="Unresolved Mention"/>
    <w:basedOn w:val="Carpredefinitoparagrafo"/>
    <w:uiPriority w:val="99"/>
    <w:semiHidden/>
    <w:unhideWhenUsed/>
    <w:rsid w:val="00CB5CEB"/>
    <w:rPr>
      <w:color w:val="605E5C"/>
      <w:shd w:val="clear" w:color="auto" w:fill="E1DFDD"/>
    </w:rPr>
  </w:style>
  <w:style w:type="character" w:styleId="Collegamentovisitato">
    <w:name w:val="FollowedHyperlink"/>
    <w:basedOn w:val="Carpredefinitoparagrafo"/>
    <w:uiPriority w:val="99"/>
    <w:semiHidden/>
    <w:unhideWhenUsed/>
    <w:rsid w:val="00CB5CEB"/>
    <w:rPr>
      <w:color w:val="954F72" w:themeColor="followedHyperlink"/>
      <w:u w:val="single"/>
    </w:rPr>
  </w:style>
  <w:style w:type="paragraph" w:styleId="Intestazione">
    <w:name w:val="header"/>
    <w:basedOn w:val="Normale"/>
    <w:link w:val="IntestazioneCarattere"/>
    <w:uiPriority w:val="99"/>
    <w:unhideWhenUsed/>
    <w:rsid w:val="00CB5CEB"/>
    <w:pPr>
      <w:tabs>
        <w:tab w:val="center" w:pos="4819"/>
        <w:tab w:val="right" w:pos="9638"/>
      </w:tabs>
    </w:pPr>
  </w:style>
  <w:style w:type="character" w:customStyle="1" w:styleId="IntestazioneCarattere">
    <w:name w:val="Intestazione Carattere"/>
    <w:basedOn w:val="Carpredefinitoparagrafo"/>
    <w:link w:val="Intestazione"/>
    <w:uiPriority w:val="99"/>
    <w:rsid w:val="00CB5CEB"/>
    <w:rPr>
      <w:rFonts w:ascii="Times New Roman" w:eastAsia="Times New Roman" w:hAnsi="Times New Roman" w:cs="Times New Roman"/>
      <w:sz w:val="24"/>
      <w:szCs w:val="24"/>
      <w:lang w:val="it-IT" w:eastAsia="it-IT"/>
    </w:rPr>
  </w:style>
  <w:style w:type="paragraph" w:styleId="Didascalia">
    <w:name w:val="caption"/>
    <w:basedOn w:val="Normale"/>
    <w:next w:val="Normale"/>
    <w:uiPriority w:val="35"/>
    <w:semiHidden/>
    <w:unhideWhenUsed/>
    <w:qFormat/>
    <w:rsid w:val="00CB5CEB"/>
    <w:pPr>
      <w:spacing w:after="200"/>
    </w:pPr>
    <w:rPr>
      <w:i/>
      <w:iCs/>
      <w:color w:val="44546A" w:themeColor="text2"/>
      <w:sz w:val="18"/>
      <w:szCs w:val="18"/>
    </w:rPr>
  </w:style>
  <w:style w:type="paragraph" w:customStyle="1" w:styleId="dx-doi">
    <w:name w:val="dx-doi"/>
    <w:basedOn w:val="Normale"/>
    <w:rsid w:val="00296D2A"/>
    <w:pPr>
      <w:spacing w:before="100" w:beforeAutospacing="1" w:after="100" w:afterAutospacing="1"/>
    </w:pPr>
  </w:style>
  <w:style w:type="character" w:customStyle="1" w:styleId="title-text">
    <w:name w:val="title-text"/>
    <w:basedOn w:val="Carpredefinitoparagrafo"/>
    <w:rsid w:val="00296D2A"/>
  </w:style>
  <w:style w:type="character" w:customStyle="1" w:styleId="anchor-text">
    <w:name w:val="anchor-text"/>
    <w:basedOn w:val="Carpredefinitoparagrafo"/>
    <w:rsid w:val="00296D2A"/>
  </w:style>
  <w:style w:type="character" w:customStyle="1" w:styleId="Sottotitolo1">
    <w:name w:val="Sottotitolo1"/>
    <w:basedOn w:val="Carpredefinitoparagrafo"/>
    <w:rsid w:val="00296D2A"/>
  </w:style>
  <w:style w:type="character" w:customStyle="1" w:styleId="cf01">
    <w:name w:val="cf01"/>
    <w:basedOn w:val="Carpredefinitoparagrafo"/>
    <w:rsid w:val="00E8669E"/>
    <w:rPr>
      <w:rFonts w:ascii="Segoe UI" w:hAnsi="Segoe UI" w:cs="Segoe UI" w:hint="default"/>
      <w:sz w:val="18"/>
      <w:szCs w:val="18"/>
    </w:rPr>
  </w:style>
  <w:style w:type="character" w:customStyle="1" w:styleId="Titolo4Carattere">
    <w:name w:val="Titolo 4 Carattere"/>
    <w:basedOn w:val="Carpredefinitoparagrafo"/>
    <w:link w:val="Titolo4"/>
    <w:uiPriority w:val="9"/>
    <w:rsid w:val="009207CF"/>
    <w:rPr>
      <w:rFonts w:asciiTheme="majorHAnsi" w:eastAsiaTheme="majorEastAsia" w:hAnsiTheme="majorHAnsi" w:cstheme="majorBidi"/>
      <w:i/>
      <w:iCs/>
      <w:color w:val="2F5496" w:themeColor="accent1" w:themeShade="BF"/>
      <w:sz w:val="24"/>
      <w:szCs w:val="24"/>
      <w:lang w:val="it-IT" w:eastAsia="it-IT"/>
    </w:rPr>
  </w:style>
  <w:style w:type="paragraph" w:customStyle="1" w:styleId="p">
    <w:name w:val="p"/>
    <w:basedOn w:val="Normale"/>
    <w:rsid w:val="009207CF"/>
    <w:pPr>
      <w:spacing w:before="100" w:beforeAutospacing="1" w:after="100" w:afterAutospacing="1"/>
    </w:pPr>
    <w:rPr>
      <w:lang w:val="en-AU" w:eastAsia="en-AU"/>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ellanormale"/>
    <w:tblPr>
      <w:tblStyleRowBandSize w:val="1"/>
      <w:tblStyleColBandSize w:val="1"/>
      <w:tblCellMar>
        <w:top w:w="57" w:type="dxa"/>
        <w:bottom w:w="57" w:type="dxa"/>
      </w:tblCellMar>
    </w:tblPr>
  </w:style>
  <w:style w:type="table" w:customStyle="1" w:styleId="a0">
    <w:basedOn w:val="Tabellanormale"/>
    <w:tblPr>
      <w:tblStyleRowBandSize w:val="1"/>
      <w:tblStyleColBandSize w:val="1"/>
      <w:tblCellMar>
        <w:top w:w="57" w:type="dxa"/>
        <w:bottom w:w="57" w:type="dxa"/>
      </w:tblCellMar>
    </w:tblPr>
  </w:style>
  <w:style w:type="table" w:customStyle="1" w:styleId="a1">
    <w:basedOn w:val="Tabellanormale"/>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333602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mckinsey.com/business-functions/risk-and-resilience/our-insights/when-nothing-is-normal-managing-in-extreme-uncertain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jlrKtASeKM5SJ0t+9bcYiPjuD9w==">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242</TotalTime>
  <Pages>59</Pages>
  <Words>18711</Words>
  <Characters>106658</Characters>
  <Application>Microsoft Office Word</Application>
  <DocSecurity>0</DocSecurity>
  <Lines>888</Lines>
  <Paragraphs>250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125119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Writewatchman</dc:creator>
  <cp:lastModifiedBy>Martina Frizzo</cp:lastModifiedBy>
  <cp:revision>29</cp:revision>
  <dcterms:created xsi:type="dcterms:W3CDTF">2023-09-12T08:05:00Z</dcterms:created>
  <dcterms:modified xsi:type="dcterms:W3CDTF">2023-09-29T06:59:00Z</dcterms:modified>
</cp:coreProperties>
</file>